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1BBA5" w14:textId="10E00DB8" w:rsidR="00B0084D" w:rsidRPr="00634EE4" w:rsidRDefault="00A138BC" w:rsidP="005E3785">
      <w:pPr>
        <w:tabs>
          <w:tab w:val="left" w:pos="4962"/>
        </w:tabs>
        <w:ind w:right="3456"/>
        <w:rPr>
          <w:rFonts w:ascii="Arial" w:hAnsi="Arial" w:cs="Arial"/>
          <w:sz w:val="28"/>
          <w:szCs w:val="28"/>
        </w:rPr>
      </w:pPr>
    </w:p>
    <w:p w14:paraId="2DDCF555" w14:textId="5728189A" w:rsidR="004F7D33" w:rsidRPr="00E07F5C" w:rsidRDefault="004F7D33" w:rsidP="00E07F5C">
      <w:pPr>
        <w:jc w:val="center"/>
        <w:rPr>
          <w:rFonts w:ascii="Arial" w:hAnsi="Arial" w:cs="Arial"/>
          <w:b/>
          <w:bCs/>
          <w:sz w:val="28"/>
          <w:szCs w:val="28"/>
          <w:lang w:val="de-AT"/>
        </w:rPr>
      </w:pPr>
      <w:r w:rsidRPr="00E07F5C">
        <w:rPr>
          <w:rFonts w:ascii="Arial" w:eastAsia="Times New Roman" w:hAnsi="Arial" w:cs="Arial"/>
          <w:b/>
          <w:bCs/>
          <w:sz w:val="28"/>
          <w:szCs w:val="28"/>
          <w:lang w:val="de-AT" w:eastAsia="de-DE"/>
        </w:rPr>
        <w:t xml:space="preserve">NTT DATA kündigt </w:t>
      </w:r>
      <w:r w:rsidR="00055472" w:rsidRPr="00E07F5C">
        <w:rPr>
          <w:rFonts w:ascii="Arial" w:eastAsia="Times New Roman" w:hAnsi="Arial" w:cs="Arial"/>
          <w:b/>
          <w:bCs/>
          <w:sz w:val="28"/>
          <w:szCs w:val="28"/>
          <w:lang w:val="de-AT" w:eastAsia="de-DE"/>
        </w:rPr>
        <w:t xml:space="preserve">ein </w:t>
      </w:r>
      <w:r w:rsidRPr="00E07F5C">
        <w:rPr>
          <w:rFonts w:ascii="Arial" w:eastAsia="Times New Roman" w:hAnsi="Arial" w:cs="Arial"/>
          <w:b/>
          <w:bCs/>
          <w:sz w:val="28"/>
          <w:szCs w:val="28"/>
          <w:lang w:val="de-AT" w:eastAsia="de-DE"/>
        </w:rPr>
        <w:t>neues personalisiertes Datenerlebnis</w:t>
      </w:r>
      <w:r w:rsidR="00204021">
        <w:rPr>
          <w:rFonts w:ascii="Arial" w:eastAsia="Times New Roman" w:hAnsi="Arial" w:cs="Arial"/>
          <w:b/>
          <w:bCs/>
          <w:sz w:val="28"/>
          <w:szCs w:val="28"/>
          <w:lang w:val="de-AT" w:eastAsia="de-DE"/>
        </w:rPr>
        <w:br/>
      </w:r>
      <w:bookmarkStart w:id="0" w:name="_GoBack"/>
      <w:bookmarkEnd w:id="0"/>
      <w:r w:rsidRPr="00E07F5C">
        <w:rPr>
          <w:rFonts w:ascii="Arial" w:eastAsia="Times New Roman" w:hAnsi="Arial" w:cs="Arial"/>
          <w:b/>
          <w:bCs/>
          <w:sz w:val="28"/>
          <w:szCs w:val="28"/>
          <w:lang w:val="de-AT" w:eastAsia="de-DE"/>
        </w:rPr>
        <w:t xml:space="preserve"> für </w:t>
      </w:r>
      <w:r w:rsidR="002E60BB" w:rsidRPr="00E07F5C">
        <w:rPr>
          <w:rFonts w:ascii="Arial" w:eastAsia="Times New Roman" w:hAnsi="Arial" w:cs="Arial"/>
          <w:b/>
          <w:bCs/>
          <w:sz w:val="28"/>
          <w:szCs w:val="28"/>
          <w:lang w:val="de-AT" w:eastAsia="de-DE"/>
        </w:rPr>
        <w:t xml:space="preserve">die </w:t>
      </w:r>
      <w:r w:rsidRPr="00E07F5C">
        <w:rPr>
          <w:rFonts w:ascii="Arial" w:eastAsia="Times New Roman" w:hAnsi="Arial" w:cs="Arial"/>
          <w:b/>
          <w:bCs/>
          <w:sz w:val="28"/>
          <w:szCs w:val="28"/>
          <w:lang w:val="de-AT" w:eastAsia="de-DE"/>
        </w:rPr>
        <w:t>149. The Open an</w:t>
      </w:r>
    </w:p>
    <w:p w14:paraId="10BC8091" w14:textId="77777777" w:rsidR="004F7D33" w:rsidRPr="004F7D33" w:rsidRDefault="004F7D33" w:rsidP="002E60BB">
      <w:pPr>
        <w:jc w:val="center"/>
        <w:rPr>
          <w:rFonts w:ascii="Arial" w:hAnsi="Arial" w:cs="Arial"/>
          <w:sz w:val="20"/>
          <w:szCs w:val="20"/>
          <w:lang w:val="de-AT"/>
        </w:rPr>
      </w:pPr>
    </w:p>
    <w:p w14:paraId="2A9D077B" w14:textId="77777777" w:rsidR="004F7D33" w:rsidRPr="004F7D33" w:rsidRDefault="004F7D33" w:rsidP="004F7D33">
      <w:pPr>
        <w:jc w:val="center"/>
        <w:rPr>
          <w:rFonts w:ascii="Arial" w:eastAsia="Times New Roman" w:hAnsi="Arial" w:cs="Arial"/>
          <w:lang w:val="de-AT" w:eastAsia="de-DE"/>
        </w:rPr>
      </w:pPr>
      <w:r w:rsidRPr="004F7D33">
        <w:rPr>
          <w:rFonts w:ascii="Arial" w:eastAsia="Times New Roman" w:hAnsi="Arial" w:cs="Arial"/>
          <w:lang w:val="de-AT" w:eastAsia="de-DE"/>
        </w:rPr>
        <w:t>Fans von The Open haben in diesem Jahr durch die Technologie von NTT DATA Zugriff auf den "Live Data Stream" und den personalisierten "My Newsfeed"</w:t>
      </w:r>
    </w:p>
    <w:p w14:paraId="6534B420" w14:textId="77777777" w:rsidR="004F7D33" w:rsidRPr="004F7D33" w:rsidRDefault="004F7D33" w:rsidP="004F7D33">
      <w:pPr>
        <w:rPr>
          <w:rFonts w:ascii="Arial" w:hAnsi="Arial" w:cs="Arial"/>
          <w:sz w:val="20"/>
          <w:szCs w:val="20"/>
          <w:lang w:val="de-AT"/>
        </w:rPr>
      </w:pPr>
    </w:p>
    <w:p w14:paraId="31EF238A" w14:textId="78C4BFB7" w:rsidR="004F7D33" w:rsidRPr="004F7D33" w:rsidRDefault="006F2297" w:rsidP="004F7D33">
      <w:pPr>
        <w:rPr>
          <w:rFonts w:ascii="Arial" w:hAnsi="Arial" w:cs="Arial"/>
          <w:sz w:val="20"/>
          <w:szCs w:val="20"/>
          <w:lang w:val="de-AT"/>
        </w:rPr>
      </w:pPr>
      <w:r>
        <w:rPr>
          <w:rFonts w:ascii="Arial" w:hAnsi="Arial" w:cs="Arial"/>
          <w:b/>
          <w:sz w:val="20"/>
          <w:szCs w:val="20"/>
          <w:lang w:val="de-AT"/>
        </w:rPr>
        <w:t>München | Tokio, 5</w:t>
      </w:r>
      <w:r w:rsidR="004F7D33" w:rsidRPr="004F7D33">
        <w:rPr>
          <w:rFonts w:ascii="Arial" w:hAnsi="Arial" w:cs="Arial"/>
          <w:b/>
          <w:sz w:val="20"/>
          <w:szCs w:val="20"/>
          <w:lang w:val="de-AT"/>
        </w:rPr>
        <w:t>. Juli 2021</w:t>
      </w:r>
      <w:r w:rsidR="004F7D33" w:rsidRPr="004F7D33">
        <w:rPr>
          <w:rFonts w:ascii="Arial" w:hAnsi="Arial" w:cs="Arial"/>
          <w:sz w:val="20"/>
          <w:szCs w:val="20"/>
          <w:lang w:val="de-AT"/>
        </w:rPr>
        <w:t xml:space="preserve"> - </w:t>
      </w:r>
      <w:hyperlink r:id="rId7" w:history="1">
        <w:r w:rsidR="004F7D33" w:rsidRPr="00C179B4">
          <w:rPr>
            <w:rStyle w:val="Hyperlink"/>
            <w:rFonts w:ascii="Arial" w:hAnsi="Arial" w:cs="Arial"/>
            <w:sz w:val="20"/>
            <w:szCs w:val="20"/>
            <w:lang w:val="de-AT"/>
          </w:rPr>
          <w:t>NTT DATA</w:t>
        </w:r>
      </w:hyperlink>
      <w:r w:rsidR="00C179B4">
        <w:rPr>
          <w:rFonts w:ascii="Arial" w:hAnsi="Arial" w:cs="Arial"/>
          <w:sz w:val="20"/>
          <w:szCs w:val="20"/>
          <w:lang w:val="de-AT"/>
        </w:rPr>
        <w:t>,</w:t>
      </w:r>
      <w:r w:rsidR="00C179B4" w:rsidRPr="00C179B4">
        <w:rPr>
          <w:rFonts w:ascii="Arial" w:hAnsi="Arial" w:cs="Arial"/>
          <w:sz w:val="20"/>
          <w:szCs w:val="20"/>
          <w:lang w:val="de-AT"/>
        </w:rPr>
        <w:t xml:space="preserve"> </w:t>
      </w:r>
      <w:r w:rsidR="00C179B4" w:rsidRPr="00634EE4">
        <w:rPr>
          <w:rFonts w:ascii="Arial" w:hAnsi="Arial" w:cs="Arial"/>
          <w:sz w:val="20"/>
          <w:szCs w:val="20"/>
          <w:lang w:val="de-AT"/>
        </w:rPr>
        <w:t>ein globaler Marktführer für digitale Geschäfts- und IT-Dienstleistungen</w:t>
      </w:r>
      <w:r w:rsidR="00C179B4">
        <w:rPr>
          <w:rFonts w:ascii="Arial" w:hAnsi="Arial" w:cs="Arial"/>
          <w:sz w:val="20"/>
          <w:szCs w:val="20"/>
          <w:lang w:val="de-AT"/>
        </w:rPr>
        <w:t xml:space="preserve">, </w:t>
      </w:r>
      <w:r w:rsidR="004F7D33" w:rsidRPr="004F7D33">
        <w:rPr>
          <w:rFonts w:ascii="Arial" w:hAnsi="Arial" w:cs="Arial"/>
          <w:sz w:val="20"/>
          <w:szCs w:val="20"/>
          <w:lang w:val="de-AT"/>
        </w:rPr>
        <w:t xml:space="preserve">hat heute ein neues personalisiertes Datenerlebnis für </w:t>
      </w:r>
      <w:r w:rsidR="002E60BB">
        <w:rPr>
          <w:rFonts w:ascii="Arial" w:hAnsi="Arial" w:cs="Arial"/>
          <w:sz w:val="20"/>
          <w:szCs w:val="20"/>
          <w:lang w:val="de-AT"/>
        </w:rPr>
        <w:t>die</w:t>
      </w:r>
      <w:r w:rsidR="002E60BB" w:rsidRPr="004F7D33">
        <w:rPr>
          <w:rFonts w:ascii="Arial" w:hAnsi="Arial" w:cs="Arial"/>
          <w:sz w:val="20"/>
          <w:szCs w:val="20"/>
          <w:lang w:val="de-AT"/>
        </w:rPr>
        <w:t xml:space="preserve"> </w:t>
      </w:r>
      <w:r w:rsidR="004F7D33" w:rsidRPr="004F7D33">
        <w:rPr>
          <w:rFonts w:ascii="Arial" w:hAnsi="Arial" w:cs="Arial"/>
          <w:sz w:val="20"/>
          <w:szCs w:val="20"/>
          <w:lang w:val="de-AT"/>
        </w:rPr>
        <w:t xml:space="preserve">149. The Open im Jahr 2021 angekündigt. Durch den Einsatz zukunftsweisender Sporttechnologie und fortschrittlicher Analytik erhalten Zuschauer Zugang zu einem Live-Daten-Stream und einem personalisierten, KI-gestützten Newsfeed, der sie auf einem zweiten Bildschirm begleitet und ihr Zuschauererlebnis </w:t>
      </w:r>
      <w:r w:rsidR="00E07F5C">
        <w:rPr>
          <w:rFonts w:ascii="Arial" w:hAnsi="Arial" w:cs="Arial"/>
          <w:sz w:val="20"/>
          <w:szCs w:val="20"/>
          <w:lang w:val="de-AT"/>
        </w:rPr>
        <w:t>intensiviert</w:t>
      </w:r>
      <w:r w:rsidR="004F7D33" w:rsidRPr="004F7D33">
        <w:rPr>
          <w:rFonts w:ascii="Arial" w:hAnsi="Arial" w:cs="Arial"/>
          <w:sz w:val="20"/>
          <w:szCs w:val="20"/>
          <w:lang w:val="de-AT"/>
        </w:rPr>
        <w:t>.</w:t>
      </w:r>
    </w:p>
    <w:p w14:paraId="3E333EE6" w14:textId="77777777" w:rsidR="004F7D33" w:rsidRPr="004F7D33" w:rsidRDefault="004F7D33" w:rsidP="004F7D33">
      <w:pPr>
        <w:rPr>
          <w:rFonts w:ascii="Arial" w:hAnsi="Arial" w:cs="Arial"/>
          <w:sz w:val="20"/>
          <w:szCs w:val="20"/>
          <w:lang w:val="de-AT"/>
        </w:rPr>
      </w:pPr>
    </w:p>
    <w:p w14:paraId="4F00C842" w14:textId="77777777" w:rsidR="004F7D33" w:rsidRPr="004F7D33" w:rsidRDefault="004F7D33" w:rsidP="004F7D33">
      <w:pPr>
        <w:rPr>
          <w:rFonts w:ascii="Arial" w:hAnsi="Arial" w:cs="Arial"/>
          <w:sz w:val="20"/>
          <w:szCs w:val="20"/>
          <w:lang w:val="de-AT"/>
        </w:rPr>
      </w:pPr>
      <w:r w:rsidRPr="004F7D33">
        <w:rPr>
          <w:rFonts w:ascii="Arial" w:hAnsi="Arial" w:cs="Arial"/>
          <w:sz w:val="20"/>
          <w:szCs w:val="20"/>
          <w:lang w:val="de-AT"/>
        </w:rPr>
        <w:t>NTT DATA arbeitet seit 2013 mit The R&amp;A, dem Veranstalter von The Open, als Schirmherr der Veranstaltung zusammen und nutzt die neuesten technologischen Innovationen, um jedes Jahr ein Datenerlebnis für Golf-Fans zu schaffen. Im Jahr 2014 wurde die NTT DATA Wall eingeführt, die auf einer riesigen Medieninstallation detaillierte Analysen vom gesamten Golfplatz anzeigt und sicherstellt, dass die Zuschauer über die neuesten Entwicklungen im Spielgeschehen auf dem Laufenden bleiben.</w:t>
      </w:r>
    </w:p>
    <w:p w14:paraId="6C0F697C" w14:textId="77777777" w:rsidR="004F7D33" w:rsidRPr="004F7D33" w:rsidRDefault="004F7D33" w:rsidP="004F7D33">
      <w:pPr>
        <w:rPr>
          <w:rFonts w:ascii="Arial" w:hAnsi="Arial" w:cs="Arial"/>
          <w:sz w:val="20"/>
          <w:szCs w:val="20"/>
          <w:lang w:val="de-AT"/>
        </w:rPr>
      </w:pPr>
    </w:p>
    <w:p w14:paraId="264EAE43" w14:textId="718AE71E" w:rsidR="004F7D33" w:rsidRPr="004F7D33" w:rsidRDefault="004F7D33" w:rsidP="004F7D33">
      <w:pPr>
        <w:rPr>
          <w:rFonts w:ascii="Arial" w:hAnsi="Arial" w:cs="Arial"/>
          <w:sz w:val="20"/>
          <w:szCs w:val="20"/>
          <w:lang w:val="de-AT"/>
        </w:rPr>
      </w:pPr>
      <w:r w:rsidRPr="004F7D33">
        <w:rPr>
          <w:rFonts w:ascii="Arial" w:hAnsi="Arial" w:cs="Arial"/>
          <w:sz w:val="20"/>
          <w:szCs w:val="20"/>
          <w:lang w:val="de-AT"/>
        </w:rPr>
        <w:t xml:space="preserve">Im Jahr 2020 entwickelte NTT DATA gemeinsam mit The R&amp;A The Open </w:t>
      </w:r>
      <w:proofErr w:type="spellStart"/>
      <w:r w:rsidRPr="004F7D33">
        <w:rPr>
          <w:rFonts w:ascii="Arial" w:hAnsi="Arial" w:cs="Arial"/>
          <w:sz w:val="20"/>
          <w:szCs w:val="20"/>
          <w:lang w:val="de-AT"/>
        </w:rPr>
        <w:t>For</w:t>
      </w:r>
      <w:proofErr w:type="spellEnd"/>
      <w:r w:rsidRPr="004F7D33">
        <w:rPr>
          <w:rFonts w:ascii="Arial" w:hAnsi="Arial" w:cs="Arial"/>
          <w:sz w:val="20"/>
          <w:szCs w:val="20"/>
          <w:lang w:val="de-AT"/>
        </w:rPr>
        <w:t xml:space="preserve"> </w:t>
      </w:r>
      <w:r w:rsidR="005B2391">
        <w:rPr>
          <w:rFonts w:ascii="Arial" w:hAnsi="Arial" w:cs="Arial"/>
          <w:sz w:val="20"/>
          <w:szCs w:val="20"/>
          <w:lang w:val="de-AT"/>
        </w:rPr>
        <w:t xml:space="preserve">The </w:t>
      </w:r>
      <w:r w:rsidRPr="004F7D33">
        <w:rPr>
          <w:rFonts w:ascii="Arial" w:hAnsi="Arial" w:cs="Arial"/>
          <w:sz w:val="20"/>
          <w:szCs w:val="20"/>
          <w:lang w:val="de-AT"/>
        </w:rPr>
        <w:t xml:space="preserve">Ages, ein einzigartiges virtuelles Event, </w:t>
      </w:r>
      <w:proofErr w:type="gramStart"/>
      <w:r w:rsidRPr="004F7D33">
        <w:rPr>
          <w:rFonts w:ascii="Arial" w:hAnsi="Arial" w:cs="Arial"/>
          <w:sz w:val="20"/>
          <w:szCs w:val="20"/>
          <w:lang w:val="de-AT"/>
        </w:rPr>
        <w:t>das</w:t>
      </w:r>
      <w:proofErr w:type="gramEnd"/>
      <w:r w:rsidRPr="004F7D33">
        <w:rPr>
          <w:rFonts w:ascii="Arial" w:hAnsi="Arial" w:cs="Arial"/>
          <w:sz w:val="20"/>
          <w:szCs w:val="20"/>
          <w:lang w:val="de-AT"/>
        </w:rPr>
        <w:t xml:space="preserve"> nach der Absage der Open im Jahr 2020 aufgrund von </w:t>
      </w:r>
      <w:proofErr w:type="spellStart"/>
      <w:r w:rsidRPr="004F7D33">
        <w:rPr>
          <w:rFonts w:ascii="Arial" w:hAnsi="Arial" w:cs="Arial"/>
          <w:sz w:val="20"/>
          <w:szCs w:val="20"/>
          <w:lang w:val="de-AT"/>
        </w:rPr>
        <w:t>Coronavirus</w:t>
      </w:r>
      <w:proofErr w:type="spellEnd"/>
      <w:r w:rsidRPr="004F7D33">
        <w:rPr>
          <w:rFonts w:ascii="Arial" w:hAnsi="Arial" w:cs="Arial"/>
          <w:sz w:val="20"/>
          <w:szCs w:val="20"/>
          <w:lang w:val="de-AT"/>
        </w:rPr>
        <w:t xml:space="preserve">-Beschränkungen stattfand. Bei der virtuellen Meisterschaft traten Golfgrößen der letzten 50 Jahre gegeneinander an. Der Sieger wurde durch eine Kombination aus Fanabstimmung und einer Analyse aller </w:t>
      </w:r>
      <w:proofErr w:type="spellStart"/>
      <w:r w:rsidRPr="004F7D33">
        <w:rPr>
          <w:rFonts w:ascii="Arial" w:hAnsi="Arial" w:cs="Arial"/>
          <w:sz w:val="20"/>
          <w:szCs w:val="20"/>
          <w:lang w:val="de-AT"/>
        </w:rPr>
        <w:t>Scorekarten</w:t>
      </w:r>
      <w:proofErr w:type="spellEnd"/>
      <w:r w:rsidRPr="004F7D33">
        <w:rPr>
          <w:rFonts w:ascii="Arial" w:hAnsi="Arial" w:cs="Arial"/>
          <w:sz w:val="20"/>
          <w:szCs w:val="20"/>
          <w:lang w:val="de-AT"/>
        </w:rPr>
        <w:t xml:space="preserve"> sowie historischen Daten </w:t>
      </w:r>
      <w:r w:rsidR="00055472">
        <w:rPr>
          <w:rFonts w:ascii="Arial" w:hAnsi="Arial" w:cs="Arial"/>
          <w:sz w:val="20"/>
          <w:szCs w:val="20"/>
          <w:lang w:val="de-AT"/>
        </w:rPr>
        <w:t>von The</w:t>
      </w:r>
      <w:r w:rsidRPr="004F7D33">
        <w:rPr>
          <w:rFonts w:ascii="Arial" w:hAnsi="Arial" w:cs="Arial"/>
          <w:sz w:val="20"/>
          <w:szCs w:val="20"/>
          <w:lang w:val="de-AT"/>
        </w:rPr>
        <w:t xml:space="preserve"> Open seit 1970 ermittelt.</w:t>
      </w:r>
    </w:p>
    <w:p w14:paraId="33800FB1" w14:textId="77777777" w:rsidR="004F7D33" w:rsidRPr="004F7D33" w:rsidRDefault="004F7D33" w:rsidP="004F7D33">
      <w:pPr>
        <w:rPr>
          <w:rFonts w:ascii="Arial" w:hAnsi="Arial" w:cs="Arial"/>
          <w:sz w:val="20"/>
          <w:szCs w:val="20"/>
          <w:lang w:val="de-AT"/>
        </w:rPr>
      </w:pPr>
    </w:p>
    <w:p w14:paraId="52E6BA7D" w14:textId="039699F6" w:rsidR="004F7D33" w:rsidRPr="004F7D33" w:rsidRDefault="004F7D33" w:rsidP="004F7D33">
      <w:pPr>
        <w:rPr>
          <w:rFonts w:ascii="Arial" w:hAnsi="Arial" w:cs="Arial"/>
          <w:sz w:val="20"/>
          <w:szCs w:val="20"/>
          <w:lang w:val="de-AT"/>
        </w:rPr>
      </w:pPr>
      <w:r w:rsidRPr="004F7D33">
        <w:rPr>
          <w:rFonts w:ascii="Arial" w:hAnsi="Arial" w:cs="Arial"/>
          <w:sz w:val="20"/>
          <w:szCs w:val="20"/>
          <w:lang w:val="de-AT"/>
        </w:rPr>
        <w:t>Mit der Rückkehr der Championship in diesem Jahr wird die Technologie hinter der NTT D</w:t>
      </w:r>
      <w:r w:rsidR="004165F7">
        <w:rPr>
          <w:rFonts w:ascii="Arial" w:hAnsi="Arial" w:cs="Arial"/>
          <w:sz w:val="20"/>
          <w:szCs w:val="20"/>
          <w:lang w:val="de-AT"/>
        </w:rPr>
        <w:t xml:space="preserve">ATA Wall genutzt, um eine neue </w:t>
      </w:r>
      <w:r w:rsidRPr="004F7D33">
        <w:rPr>
          <w:rFonts w:ascii="Arial" w:hAnsi="Arial" w:cs="Arial"/>
          <w:sz w:val="20"/>
          <w:szCs w:val="20"/>
          <w:lang w:val="de-AT"/>
        </w:rPr>
        <w:t xml:space="preserve">Data Experience zu schaffen. Fans können ihre Lieblingsgolfer über den personalisierten "My Newsfeed" verfolgen, der Echtzeit-Updates zu Spielern, </w:t>
      </w:r>
      <w:proofErr w:type="spellStart"/>
      <w:r w:rsidRPr="004F7D33">
        <w:rPr>
          <w:rFonts w:ascii="Arial" w:hAnsi="Arial" w:cs="Arial"/>
          <w:sz w:val="20"/>
          <w:szCs w:val="20"/>
          <w:lang w:val="de-AT"/>
        </w:rPr>
        <w:t>Scores</w:t>
      </w:r>
      <w:proofErr w:type="spellEnd"/>
      <w:r w:rsidRPr="004F7D33">
        <w:rPr>
          <w:rFonts w:ascii="Arial" w:hAnsi="Arial" w:cs="Arial"/>
          <w:sz w:val="20"/>
          <w:szCs w:val="20"/>
          <w:lang w:val="de-AT"/>
        </w:rPr>
        <w:t xml:space="preserve"> und Schlägen liefert, sobald sie auftreten. Neben dem Newsfeed wird es einen "Live Data Stream" geben, der die Analyse der 8 Milliarden Datenpunkte zeigt, die während der Championship generiert werden. Diese Daten werden während des Turniers (15.-18. Juli) auf der The Open Website zur Verfügung gestellt und sind auch über die offizielle Open App zugänglich. Im Royal St George's Golf Club wird ein neuer NTT DATA Erlebnis-Feed auf den Bildschirmen rund um den Platz, wie z.</w:t>
      </w:r>
      <w:r w:rsidR="005B2391">
        <w:rPr>
          <w:rFonts w:ascii="Arial" w:hAnsi="Arial" w:cs="Arial"/>
          <w:sz w:val="20"/>
          <w:szCs w:val="20"/>
          <w:lang w:val="de-AT"/>
        </w:rPr>
        <w:t xml:space="preserve"> </w:t>
      </w:r>
      <w:r w:rsidRPr="004F7D33">
        <w:rPr>
          <w:rFonts w:ascii="Arial" w:hAnsi="Arial" w:cs="Arial"/>
          <w:sz w:val="20"/>
          <w:szCs w:val="20"/>
          <w:lang w:val="de-AT"/>
        </w:rPr>
        <w:t xml:space="preserve">B. im Pavillon und in der </w:t>
      </w:r>
      <w:proofErr w:type="spellStart"/>
      <w:r w:rsidRPr="004F7D33">
        <w:rPr>
          <w:rFonts w:ascii="Arial" w:hAnsi="Arial" w:cs="Arial"/>
          <w:sz w:val="20"/>
          <w:szCs w:val="20"/>
          <w:lang w:val="de-AT"/>
        </w:rPr>
        <w:t>Hospitality</w:t>
      </w:r>
      <w:proofErr w:type="spellEnd"/>
      <w:r w:rsidRPr="004F7D33">
        <w:rPr>
          <w:rFonts w:ascii="Arial" w:hAnsi="Arial" w:cs="Arial"/>
          <w:sz w:val="20"/>
          <w:szCs w:val="20"/>
          <w:lang w:val="de-AT"/>
        </w:rPr>
        <w:t xml:space="preserve"> Suite, verfügbar sein und eine Alternative zum Live-TV-Feed bieten.</w:t>
      </w:r>
    </w:p>
    <w:p w14:paraId="788D284C" w14:textId="77777777" w:rsidR="004F7D33" w:rsidRPr="004F7D33" w:rsidRDefault="004F7D33" w:rsidP="004F7D33">
      <w:pPr>
        <w:rPr>
          <w:rFonts w:ascii="Arial" w:hAnsi="Arial" w:cs="Arial"/>
          <w:sz w:val="20"/>
          <w:szCs w:val="20"/>
          <w:lang w:val="de-AT"/>
        </w:rPr>
      </w:pPr>
    </w:p>
    <w:p w14:paraId="5A4FD21C" w14:textId="7BCF177C" w:rsidR="004F7D33" w:rsidRPr="004F7D33" w:rsidRDefault="004F7D33" w:rsidP="004F7D33">
      <w:pPr>
        <w:rPr>
          <w:rFonts w:ascii="Arial" w:hAnsi="Arial" w:cs="Arial"/>
          <w:sz w:val="20"/>
          <w:szCs w:val="20"/>
          <w:lang w:val="de-AT"/>
        </w:rPr>
      </w:pPr>
      <w:r w:rsidRPr="004F7D33">
        <w:rPr>
          <w:rFonts w:ascii="Arial" w:hAnsi="Arial" w:cs="Arial"/>
          <w:sz w:val="20"/>
          <w:szCs w:val="20"/>
          <w:lang w:val="de-AT"/>
        </w:rPr>
        <w:t xml:space="preserve">John </w:t>
      </w:r>
      <w:proofErr w:type="spellStart"/>
      <w:r w:rsidRPr="004F7D33">
        <w:rPr>
          <w:rFonts w:ascii="Arial" w:hAnsi="Arial" w:cs="Arial"/>
          <w:sz w:val="20"/>
          <w:szCs w:val="20"/>
          <w:lang w:val="de-AT"/>
        </w:rPr>
        <w:t>Espley</w:t>
      </w:r>
      <w:proofErr w:type="spellEnd"/>
      <w:r w:rsidRPr="004F7D33">
        <w:rPr>
          <w:rFonts w:ascii="Arial" w:hAnsi="Arial" w:cs="Arial"/>
          <w:sz w:val="20"/>
          <w:szCs w:val="20"/>
          <w:lang w:val="de-AT"/>
        </w:rPr>
        <w:t xml:space="preserve">, </w:t>
      </w:r>
      <w:proofErr w:type="spellStart"/>
      <w:r w:rsidRPr="004F7D33">
        <w:rPr>
          <w:rFonts w:ascii="Arial" w:hAnsi="Arial" w:cs="Arial"/>
          <w:sz w:val="20"/>
          <w:szCs w:val="20"/>
          <w:lang w:val="de-AT"/>
        </w:rPr>
        <w:t>Director</w:t>
      </w:r>
      <w:proofErr w:type="spellEnd"/>
      <w:r w:rsidRPr="004F7D33">
        <w:rPr>
          <w:rFonts w:ascii="Arial" w:hAnsi="Arial" w:cs="Arial"/>
          <w:sz w:val="20"/>
          <w:szCs w:val="20"/>
          <w:lang w:val="de-AT"/>
        </w:rPr>
        <w:t xml:space="preserve"> </w:t>
      </w:r>
      <w:proofErr w:type="spellStart"/>
      <w:r w:rsidRPr="004F7D33">
        <w:rPr>
          <w:rFonts w:ascii="Arial" w:hAnsi="Arial" w:cs="Arial"/>
          <w:sz w:val="20"/>
          <w:szCs w:val="20"/>
          <w:lang w:val="de-AT"/>
        </w:rPr>
        <w:t>of</w:t>
      </w:r>
      <w:proofErr w:type="spellEnd"/>
      <w:r w:rsidRPr="004F7D33">
        <w:rPr>
          <w:rFonts w:ascii="Arial" w:hAnsi="Arial" w:cs="Arial"/>
          <w:sz w:val="20"/>
          <w:szCs w:val="20"/>
          <w:lang w:val="de-AT"/>
        </w:rPr>
        <w:t xml:space="preserve"> Commercial </w:t>
      </w:r>
      <w:proofErr w:type="spellStart"/>
      <w:r w:rsidRPr="004F7D33">
        <w:rPr>
          <w:rFonts w:ascii="Arial" w:hAnsi="Arial" w:cs="Arial"/>
          <w:sz w:val="20"/>
          <w:szCs w:val="20"/>
          <w:lang w:val="de-AT"/>
        </w:rPr>
        <w:t>Partnerships</w:t>
      </w:r>
      <w:proofErr w:type="spellEnd"/>
      <w:r w:rsidRPr="004F7D33">
        <w:rPr>
          <w:rFonts w:ascii="Arial" w:hAnsi="Arial" w:cs="Arial"/>
          <w:sz w:val="20"/>
          <w:szCs w:val="20"/>
          <w:lang w:val="de-AT"/>
        </w:rPr>
        <w:t>, The R&amp;A, kommentiert: "Nac</w:t>
      </w:r>
      <w:r w:rsidRPr="002E60BB">
        <w:rPr>
          <w:rFonts w:ascii="Arial" w:hAnsi="Arial" w:cs="Arial"/>
          <w:sz w:val="20"/>
          <w:szCs w:val="20"/>
          <w:lang w:val="de-AT"/>
        </w:rPr>
        <w:t xml:space="preserve">h der Enttäuschung, The Open im letzten Jahr absagen zu müssen, war es unsere Priorität, die 149th </w:t>
      </w:r>
      <w:r w:rsidR="005B2391" w:rsidRPr="002E60BB">
        <w:rPr>
          <w:rFonts w:ascii="Arial" w:hAnsi="Arial" w:cs="Arial"/>
          <w:sz w:val="20"/>
          <w:szCs w:val="20"/>
          <w:lang w:val="de-AT"/>
        </w:rPr>
        <w:t xml:space="preserve">The </w:t>
      </w:r>
      <w:r w:rsidRPr="002E60BB">
        <w:rPr>
          <w:rFonts w:ascii="Arial" w:hAnsi="Arial" w:cs="Arial"/>
          <w:sz w:val="20"/>
          <w:szCs w:val="20"/>
          <w:lang w:val="de-AT"/>
        </w:rPr>
        <w:t>Open so attraktiv wie möglich für die Fans zu gestalten. Durch den Einsatz neuester</w:t>
      </w:r>
      <w:r w:rsidRPr="004F7D33">
        <w:rPr>
          <w:rFonts w:ascii="Arial" w:hAnsi="Arial" w:cs="Arial"/>
          <w:sz w:val="20"/>
          <w:szCs w:val="20"/>
          <w:lang w:val="de-AT"/>
        </w:rPr>
        <w:t xml:space="preserve"> Technologien sind wir in der Lage, ein hohes Maß an Personalisierung zu ermöglichen, so dass die Fans ihre Lieblingsgolfer bis ins kleinste Detail verfolgen können.</w:t>
      </w:r>
    </w:p>
    <w:p w14:paraId="433C6898" w14:textId="77777777" w:rsidR="004F7D33" w:rsidRPr="004F7D33" w:rsidRDefault="004F7D33" w:rsidP="004F7D33">
      <w:pPr>
        <w:rPr>
          <w:rFonts w:ascii="Arial" w:hAnsi="Arial" w:cs="Arial"/>
          <w:sz w:val="20"/>
          <w:szCs w:val="20"/>
          <w:lang w:val="de-AT"/>
        </w:rPr>
      </w:pPr>
    </w:p>
    <w:p w14:paraId="7F8562AF" w14:textId="77777777" w:rsidR="004F7D33" w:rsidRPr="004F7D33" w:rsidRDefault="004F7D33" w:rsidP="004F7D33">
      <w:pPr>
        <w:rPr>
          <w:rFonts w:ascii="Arial" w:hAnsi="Arial" w:cs="Arial"/>
          <w:sz w:val="20"/>
          <w:szCs w:val="20"/>
          <w:lang w:val="de-AT"/>
        </w:rPr>
      </w:pPr>
      <w:r w:rsidRPr="004F7D33">
        <w:rPr>
          <w:rFonts w:ascii="Arial" w:hAnsi="Arial" w:cs="Arial"/>
          <w:sz w:val="20"/>
          <w:szCs w:val="20"/>
          <w:lang w:val="de-AT"/>
        </w:rPr>
        <w:t>"Die NTT DATA Wall ist seit 2014 ein wichtiger Bestandteil bei The Open und ich freue mich, dass wir zum ersten Mal das Wissen, das die Wall geschaffen hat, virtuell nutzen können, um ein noch fesselnderes digitales Erlebnis für die Fans zu schaffen."</w:t>
      </w:r>
    </w:p>
    <w:p w14:paraId="3B27E11D" w14:textId="77777777" w:rsidR="004F7D33" w:rsidRPr="004F7D33" w:rsidRDefault="004F7D33" w:rsidP="004F7D33">
      <w:pPr>
        <w:rPr>
          <w:rFonts w:ascii="Arial" w:hAnsi="Arial" w:cs="Arial"/>
          <w:sz w:val="20"/>
          <w:szCs w:val="20"/>
          <w:lang w:val="de-AT"/>
        </w:rPr>
      </w:pPr>
    </w:p>
    <w:p w14:paraId="03F3F406" w14:textId="77777777" w:rsidR="004F7D33" w:rsidRPr="004F7D33" w:rsidRDefault="004F7D33" w:rsidP="004F7D33">
      <w:pPr>
        <w:rPr>
          <w:rFonts w:ascii="Arial" w:hAnsi="Arial" w:cs="Arial"/>
          <w:sz w:val="20"/>
          <w:szCs w:val="20"/>
          <w:lang w:val="de-AT"/>
        </w:rPr>
      </w:pPr>
      <w:r w:rsidRPr="004F7D33">
        <w:rPr>
          <w:rFonts w:ascii="Arial" w:hAnsi="Arial" w:cs="Arial"/>
          <w:sz w:val="20"/>
          <w:szCs w:val="20"/>
          <w:lang w:val="de-AT"/>
        </w:rPr>
        <w:t xml:space="preserve">Walter </w:t>
      </w:r>
      <w:proofErr w:type="spellStart"/>
      <w:r w:rsidRPr="004F7D33">
        <w:rPr>
          <w:rFonts w:ascii="Arial" w:hAnsi="Arial" w:cs="Arial"/>
          <w:sz w:val="20"/>
          <w:szCs w:val="20"/>
          <w:lang w:val="de-AT"/>
        </w:rPr>
        <w:t>Ruffinoni</w:t>
      </w:r>
      <w:proofErr w:type="spellEnd"/>
      <w:r w:rsidRPr="004F7D33">
        <w:rPr>
          <w:rFonts w:ascii="Arial" w:hAnsi="Arial" w:cs="Arial"/>
          <w:sz w:val="20"/>
          <w:szCs w:val="20"/>
          <w:lang w:val="de-AT"/>
        </w:rPr>
        <w:t xml:space="preserve">, CEO von NTT DATA EMEA, kommentierte: "NTT DATA ist seit einigen Jahren ein stolzer Schirmherr von The Open. Die Zusammenarbeit bei The Open </w:t>
      </w:r>
      <w:proofErr w:type="spellStart"/>
      <w:r w:rsidRPr="004F7D33">
        <w:rPr>
          <w:rFonts w:ascii="Arial" w:hAnsi="Arial" w:cs="Arial"/>
          <w:sz w:val="20"/>
          <w:szCs w:val="20"/>
          <w:lang w:val="de-AT"/>
        </w:rPr>
        <w:t>For</w:t>
      </w:r>
      <w:proofErr w:type="spellEnd"/>
      <w:r w:rsidRPr="004F7D33">
        <w:rPr>
          <w:rFonts w:ascii="Arial" w:hAnsi="Arial" w:cs="Arial"/>
          <w:sz w:val="20"/>
          <w:szCs w:val="20"/>
          <w:lang w:val="de-AT"/>
        </w:rPr>
        <w:t xml:space="preserve"> The Ages im letzten Jahr, unter schwierigsten Umständen, ist ein Beweis für die Stärke unserer Partnerschaft.</w:t>
      </w:r>
    </w:p>
    <w:p w14:paraId="35C30479" w14:textId="10484211" w:rsidR="004F7D33" w:rsidRPr="004F7D33" w:rsidRDefault="004F7D33" w:rsidP="004F7D33">
      <w:pPr>
        <w:rPr>
          <w:rFonts w:ascii="Arial" w:hAnsi="Arial" w:cs="Arial"/>
          <w:sz w:val="20"/>
          <w:szCs w:val="20"/>
          <w:lang w:val="de-AT"/>
        </w:rPr>
      </w:pPr>
      <w:r w:rsidRPr="004F7D33">
        <w:rPr>
          <w:rFonts w:ascii="Arial" w:hAnsi="Arial" w:cs="Arial"/>
          <w:sz w:val="20"/>
          <w:szCs w:val="20"/>
          <w:lang w:val="de-AT"/>
        </w:rPr>
        <w:lastRenderedPageBreak/>
        <w:t xml:space="preserve">Dieses Jahr </w:t>
      </w:r>
      <w:r w:rsidR="00204021">
        <w:rPr>
          <w:rFonts w:ascii="Arial" w:hAnsi="Arial" w:cs="Arial"/>
          <w:sz w:val="20"/>
          <w:szCs w:val="20"/>
          <w:lang w:val="de-AT"/>
        </w:rPr>
        <w:t>eröffnet</w:t>
      </w:r>
      <w:r w:rsidR="00204021" w:rsidRPr="004F7D33">
        <w:rPr>
          <w:rFonts w:ascii="Arial" w:hAnsi="Arial" w:cs="Arial"/>
          <w:sz w:val="20"/>
          <w:szCs w:val="20"/>
          <w:lang w:val="de-AT"/>
        </w:rPr>
        <w:t xml:space="preserve"> </w:t>
      </w:r>
      <w:r w:rsidRPr="004F7D33">
        <w:rPr>
          <w:rFonts w:ascii="Arial" w:hAnsi="Arial" w:cs="Arial"/>
          <w:sz w:val="20"/>
          <w:szCs w:val="20"/>
          <w:lang w:val="de-AT"/>
        </w:rPr>
        <w:t xml:space="preserve">uns die Möglichkeit, den Fans ein noch nie dagewesenes Datenerlebnis zu bieten. Während wir unsere ersten vorsichtigen Schritte in Richtung der Rückkehr von Live-Events machen, ist es unsere Priorität, den Fans das bestmögliche Erlebnis zu </w:t>
      </w:r>
      <w:r w:rsidR="00CA2C8D">
        <w:rPr>
          <w:rFonts w:ascii="Arial" w:hAnsi="Arial" w:cs="Arial"/>
          <w:sz w:val="20"/>
          <w:szCs w:val="20"/>
          <w:lang w:val="de-AT"/>
        </w:rPr>
        <w:t>liefern</w:t>
      </w:r>
      <w:r w:rsidRPr="004F7D33">
        <w:rPr>
          <w:rFonts w:ascii="Arial" w:hAnsi="Arial" w:cs="Arial"/>
          <w:sz w:val="20"/>
          <w:szCs w:val="20"/>
          <w:lang w:val="de-AT"/>
        </w:rPr>
        <w:t>. Technologie hat das Potenzial, die Fans näher an den Sport zu bringen, den sie lieben, und ich kann mir keinen besseren Ort vorstellen, um diese Innovation zu erforschen, als Royal St. George's</w:t>
      </w:r>
      <w:r w:rsidR="00C7385E">
        <w:rPr>
          <w:rFonts w:ascii="Arial" w:hAnsi="Arial" w:cs="Arial"/>
          <w:sz w:val="20"/>
          <w:szCs w:val="20"/>
          <w:lang w:val="de-AT"/>
        </w:rPr>
        <w:t xml:space="preserve"> Golfclub</w:t>
      </w:r>
      <w:r w:rsidR="002E60BB">
        <w:rPr>
          <w:rFonts w:ascii="Arial" w:hAnsi="Arial" w:cs="Arial"/>
          <w:sz w:val="20"/>
          <w:szCs w:val="20"/>
          <w:lang w:val="de-AT"/>
        </w:rPr>
        <w:t>.</w:t>
      </w:r>
      <w:r w:rsidRPr="004F7D33">
        <w:rPr>
          <w:rFonts w:ascii="Arial" w:hAnsi="Arial" w:cs="Arial"/>
          <w:sz w:val="20"/>
          <w:szCs w:val="20"/>
          <w:lang w:val="de-AT"/>
        </w:rPr>
        <w:t>"</w:t>
      </w:r>
    </w:p>
    <w:p w14:paraId="5027555B" w14:textId="77777777" w:rsidR="00210FFD" w:rsidRPr="00634EE4" w:rsidRDefault="00210FFD" w:rsidP="0013391B">
      <w:pPr>
        <w:rPr>
          <w:rFonts w:ascii="Arial" w:eastAsia="DengXian" w:hAnsi="Arial" w:cs="Arial"/>
          <w:sz w:val="20"/>
          <w:szCs w:val="20"/>
          <w:lang w:val="de-AT"/>
        </w:rPr>
      </w:pPr>
    </w:p>
    <w:p w14:paraId="5AFABC18" w14:textId="77777777" w:rsidR="00D35710" w:rsidRPr="00634EE4" w:rsidRDefault="00D35710" w:rsidP="0013391B">
      <w:pPr>
        <w:rPr>
          <w:rFonts w:ascii="Arial" w:eastAsia="DengXian" w:hAnsi="Arial" w:cs="Arial"/>
          <w:sz w:val="22"/>
          <w:szCs w:val="22"/>
          <w:lang w:val="de-AT"/>
        </w:rPr>
      </w:pPr>
    </w:p>
    <w:p w14:paraId="4A872E10" w14:textId="368E3C92" w:rsidR="00845677" w:rsidRDefault="00634EE4" w:rsidP="0013391B">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634EE4" w:rsidRDefault="00634EE4" w:rsidP="0013391B">
      <w:pPr>
        <w:rPr>
          <w:rFonts w:ascii="Arial" w:hAnsi="Arial" w:cs="Arial"/>
          <w:b/>
          <w:bCs/>
          <w:sz w:val="22"/>
          <w:szCs w:val="22"/>
          <w:lang w:val="de-AT"/>
        </w:rPr>
      </w:pPr>
    </w:p>
    <w:p w14:paraId="01381404" w14:textId="142EB977" w:rsidR="00346FF1" w:rsidRPr="00634EE4" w:rsidRDefault="00634EE4" w:rsidP="00BF6D6B">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8" w:history="1">
        <w:r w:rsidR="00845677" w:rsidRPr="00634EE4">
          <w:rPr>
            <w:rStyle w:val="Hyperlink"/>
            <w:rFonts w:ascii="Arial" w:hAnsi="Arial" w:cs="Arial"/>
            <w:sz w:val="20"/>
            <w:szCs w:val="20"/>
          </w:rPr>
          <w:t>nttdata.com.</w:t>
        </w:r>
      </w:hyperlink>
    </w:p>
    <w:p w14:paraId="01FC064D" w14:textId="78CADA84" w:rsidR="00D35710" w:rsidRPr="0013391B" w:rsidRDefault="00D35710" w:rsidP="0013391B">
      <w:pPr>
        <w:rPr>
          <w:rFonts w:ascii="Arial" w:eastAsia="DengXian" w:hAnsi="Arial" w:cs="Arial"/>
          <w:sz w:val="20"/>
          <w:szCs w:val="20"/>
          <w:lang w:val="de-AT"/>
        </w:rPr>
      </w:pPr>
    </w:p>
    <w:p w14:paraId="28919B94" w14:textId="77777777" w:rsidR="00673251" w:rsidRPr="006C3B5D" w:rsidRDefault="00673251" w:rsidP="00673251">
      <w:pPr>
        <w:pStyle w:val="StandardWeb"/>
        <w:spacing w:before="0" w:beforeAutospacing="0" w:after="0" w:afterAutospacing="0"/>
        <w:ind w:right="-1"/>
        <w:rPr>
          <w:rFonts w:ascii="Arial" w:eastAsiaTheme="minorHAnsi" w:hAnsi="Arial" w:cs="Arial"/>
          <w:sz w:val="20"/>
          <w:szCs w:val="20"/>
          <w:lang w:val="de-DE" w:eastAsia="en-US"/>
        </w:rPr>
      </w:pPr>
      <w:r w:rsidRPr="006C3B5D">
        <w:rPr>
          <w:rFonts w:ascii="Arial" w:eastAsiaTheme="minorHAnsi" w:hAnsi="Arial" w:cs="Arial"/>
          <w:sz w:val="20"/>
          <w:szCs w:val="20"/>
          <w:lang w:val="de-DE" w:eastAsia="en-US"/>
        </w:rPr>
        <w:t xml:space="preserve">Deutschland unter </w:t>
      </w:r>
      <w:hyperlink r:id="rId9" w:history="1">
        <w:r w:rsidRPr="008F6FAE">
          <w:rPr>
            <w:rStyle w:val="Hyperlink"/>
            <w:rFonts w:ascii="Arial" w:hAnsi="Arial" w:cs="Arial"/>
            <w:sz w:val="20"/>
            <w:szCs w:val="20"/>
          </w:rPr>
          <w:t>de.nttdata.com</w:t>
        </w:r>
      </w:hyperlink>
      <w:r w:rsidRPr="006C3B5D">
        <w:rPr>
          <w:rFonts w:ascii="Arial" w:eastAsiaTheme="minorHAnsi" w:hAnsi="Arial" w:cs="Arial"/>
          <w:sz w:val="20"/>
          <w:szCs w:val="20"/>
          <w:lang w:val="de-DE" w:eastAsia="en-US"/>
        </w:rPr>
        <w:br/>
        <w:t xml:space="preserve">Österreich unter </w:t>
      </w:r>
      <w:hyperlink r:id="rId10" w:history="1">
        <w:r w:rsidRPr="008F6FAE">
          <w:rPr>
            <w:rStyle w:val="Hyperlink"/>
            <w:rFonts w:ascii="Arial" w:hAnsi="Arial" w:cs="Arial"/>
            <w:sz w:val="20"/>
            <w:szCs w:val="20"/>
          </w:rPr>
          <w:t>at.nttdata.com</w:t>
        </w:r>
      </w:hyperlink>
      <w:r w:rsidRPr="006C3B5D">
        <w:rPr>
          <w:rFonts w:ascii="Arial" w:eastAsiaTheme="minorHAnsi" w:hAnsi="Arial" w:cs="Arial"/>
          <w:sz w:val="20"/>
          <w:szCs w:val="20"/>
          <w:lang w:val="de-DE" w:eastAsia="en-US"/>
        </w:rPr>
        <w:br/>
        <w:t xml:space="preserve">Schweiz unter </w:t>
      </w:r>
      <w:hyperlink r:id="rId11" w:history="1">
        <w:r w:rsidRPr="008F6FAE">
          <w:rPr>
            <w:rStyle w:val="Hyperlink"/>
            <w:rFonts w:ascii="Arial" w:hAnsi="Arial" w:cs="Arial"/>
            <w:sz w:val="20"/>
            <w:szCs w:val="20"/>
          </w:rPr>
          <w:t>ch.nttdata.com</w:t>
        </w:r>
      </w:hyperlink>
    </w:p>
    <w:p w14:paraId="192DF01E" w14:textId="1261739C" w:rsidR="00634EE4" w:rsidRPr="00634EE4" w:rsidRDefault="00634EE4" w:rsidP="00634EE4">
      <w:pPr>
        <w:rPr>
          <w:rFonts w:ascii="Arial" w:eastAsia="DengXian" w:hAnsi="Arial" w:cs="Arial"/>
          <w:sz w:val="20"/>
          <w:szCs w:val="20"/>
          <w:lang w:val="de-DE"/>
        </w:rPr>
      </w:pPr>
    </w:p>
    <w:p w14:paraId="3F9CF0CD" w14:textId="77777777" w:rsidR="00634EE4" w:rsidRPr="00634EE4" w:rsidRDefault="00634EE4" w:rsidP="00634EE4">
      <w:pPr>
        <w:rPr>
          <w:rFonts w:ascii="Arial" w:eastAsia="DengXian" w:hAnsi="Arial" w:cs="Arial"/>
          <w:sz w:val="20"/>
          <w:szCs w:val="20"/>
          <w:lang w:val="de-AT"/>
        </w:rPr>
      </w:pPr>
    </w:p>
    <w:p w14:paraId="61B4B7B8" w14:textId="49B58121" w:rsidR="00634EE4" w:rsidRPr="00634EE4" w:rsidRDefault="00634EE4" w:rsidP="00634EE4">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634EE4">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13391B"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color w:val="000000" w:themeColor="text1"/>
          <w:sz w:val="20"/>
          <w:szCs w:val="20"/>
          <w:lang w:val="de-AT" w:eastAsia="en-US"/>
        </w:rPr>
        <w:t xml:space="preserve">NTT DATA </w:t>
      </w:r>
      <w:r w:rsidRPr="0013391B">
        <w:rPr>
          <w:rFonts w:ascii="Arial" w:eastAsiaTheme="minorHAnsi" w:hAnsi="Arial" w:cs="Arial"/>
          <w:sz w:val="20"/>
          <w:szCs w:val="20"/>
          <w:lang w:val="de-AT" w:eastAsia="en-US"/>
        </w:rPr>
        <w:t>DACH</w:t>
      </w:r>
    </w:p>
    <w:p w14:paraId="24754F65" w14:textId="3BD12420" w:rsidR="00634EE4" w:rsidRPr="0013391B"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sz w:val="20"/>
          <w:szCs w:val="20"/>
          <w:lang w:val="de-AT" w:eastAsia="en-US"/>
        </w:rPr>
        <w:t>Cornelia Spitzer, BA</w:t>
      </w:r>
    </w:p>
    <w:p w14:paraId="4373948E" w14:textId="252C7B36" w:rsidR="00634EE4" w:rsidRPr="0013391B" w:rsidRDefault="00FB6B76"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sz w:val="20"/>
          <w:szCs w:val="20"/>
          <w:lang w:val="de-AT" w:eastAsia="en-US"/>
        </w:rPr>
        <w:t xml:space="preserve">Press Manager DACH </w:t>
      </w:r>
    </w:p>
    <w:p w14:paraId="4416F4A3" w14:textId="27F9913C" w:rsidR="00634EE4" w:rsidRPr="00FB6B76" w:rsidRDefault="00FB6B76" w:rsidP="00634EE4">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634EE4">
      <w:pPr>
        <w:rPr>
          <w:rFonts w:ascii="Arial" w:hAnsi="Arial" w:cs="Arial"/>
          <w:sz w:val="20"/>
          <w:szCs w:val="20"/>
          <w:lang w:val="de-DE"/>
        </w:rPr>
      </w:pPr>
      <w:r w:rsidRPr="00634EE4">
        <w:rPr>
          <w:rFonts w:ascii="Arial" w:hAnsi="Arial" w:cs="Arial"/>
          <w:sz w:val="20"/>
          <w:szCs w:val="20"/>
          <w:lang w:val="de-DE"/>
        </w:rPr>
        <w:t xml:space="preserve">E-Mail: </w:t>
      </w:r>
      <w:hyperlink r:id="rId12"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roofErr w:type="spellStart"/>
      <w:r w:rsidRPr="005E3785">
        <w:rPr>
          <w:rFonts w:ascii="Arial" w:eastAsiaTheme="minorHAnsi" w:hAnsi="Arial" w:cs="Arial"/>
          <w:color w:val="000000" w:themeColor="text1"/>
          <w:sz w:val="20"/>
          <w:szCs w:val="20"/>
          <w:lang w:val="de-AT" w:eastAsia="en-US"/>
        </w:rPr>
        <w:t>Storymaker</w:t>
      </w:r>
      <w:proofErr w:type="spellEnd"/>
      <w:r w:rsidRPr="005E3785">
        <w:rPr>
          <w:rFonts w:ascii="Arial" w:eastAsiaTheme="minorHAnsi" w:hAnsi="Arial" w:cs="Arial"/>
          <w:color w:val="000000" w:themeColor="text1"/>
          <w:sz w:val="20"/>
          <w:szCs w:val="20"/>
          <w:lang w:val="de-AT" w:eastAsia="en-US"/>
        </w:rPr>
        <w:t xml:space="preserve"> Agentur für Public Relations GmbH</w:t>
      </w:r>
    </w:p>
    <w:p w14:paraId="3FB241B9" w14:textId="77FFCF66" w:rsidR="005E3785" w:rsidRPr="005E3785"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Gabriela Ölschläger</w:t>
      </w:r>
    </w:p>
    <w:p w14:paraId="2BC464C5" w14:textId="7E2B06C5" w:rsidR="005E3785" w:rsidRPr="002E60BB"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2E60BB">
        <w:rPr>
          <w:rFonts w:ascii="Arial" w:eastAsiaTheme="minorHAnsi" w:hAnsi="Arial" w:cs="Arial"/>
          <w:color w:val="000000" w:themeColor="text1"/>
          <w:sz w:val="20"/>
          <w:szCs w:val="20"/>
          <w:lang w:val="en-US" w:eastAsia="en-US"/>
        </w:rPr>
        <w:t>Senior Consultant</w:t>
      </w:r>
    </w:p>
    <w:p w14:paraId="53AFBCC2" w14:textId="5CEF3172" w:rsidR="005E3785" w:rsidRPr="002E60BB"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2E60BB">
        <w:rPr>
          <w:rFonts w:ascii="Arial" w:eastAsiaTheme="minorHAnsi" w:hAnsi="Arial" w:cs="Arial"/>
          <w:color w:val="000000" w:themeColor="text1"/>
          <w:sz w:val="20"/>
          <w:szCs w:val="20"/>
          <w:lang w:val="en-US" w:eastAsia="en-US"/>
        </w:rPr>
        <w:t>Tel.: +49 7071 93872 217</w:t>
      </w:r>
    </w:p>
    <w:p w14:paraId="241679E3" w14:textId="4F3169A5" w:rsidR="005E3785" w:rsidRPr="00E07F5C"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07F5C">
        <w:rPr>
          <w:rFonts w:ascii="Arial" w:eastAsiaTheme="minorHAnsi" w:hAnsi="Arial" w:cs="Arial"/>
          <w:color w:val="000000" w:themeColor="text1"/>
          <w:sz w:val="20"/>
          <w:szCs w:val="20"/>
          <w:lang w:val="en-US" w:eastAsia="en-US"/>
        </w:rPr>
        <w:t xml:space="preserve">E-Mail: </w:t>
      </w:r>
      <w:hyperlink r:id="rId13" w:history="1">
        <w:r w:rsidRPr="00E07F5C">
          <w:rPr>
            <w:rStyle w:val="Hyperlink"/>
            <w:rFonts w:ascii="Arial" w:eastAsiaTheme="minorHAnsi" w:hAnsi="Arial" w:cs="Arial"/>
            <w:sz w:val="20"/>
            <w:szCs w:val="20"/>
            <w:lang w:val="en-US" w:eastAsia="en-US"/>
          </w:rPr>
          <w:t>g.oelschlaeger@storymaker.de</w:t>
        </w:r>
      </w:hyperlink>
    </w:p>
    <w:sectPr w:rsidR="005E3785" w:rsidRPr="00E07F5C" w:rsidSect="005E3785">
      <w:headerReference w:type="default" r:id="rId14"/>
      <w:pgSz w:w="12240" w:h="15840"/>
      <w:pgMar w:top="1440" w:right="2317"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6C78" w16cex:dateUtc="2021-07-02T08:44:00Z"/>
  <w16cex:commentExtensible w16cex:durableId="24896D12" w16cex:dateUtc="2021-07-02T08:46:00Z"/>
  <w16cex:commentExtensible w16cex:durableId="24896CA0" w16cex:dateUtc="2021-07-02T08:44:00Z"/>
  <w16cex:commentExtensible w16cex:durableId="24896D2C" w16cex:dateUtc="2021-07-02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BCB352" w16cid:durableId="24896C78"/>
  <w16cid:commentId w16cid:paraId="5A73A1C4" w16cid:durableId="24896D12"/>
  <w16cid:commentId w16cid:paraId="2A9C1470" w16cid:durableId="24896CA0"/>
  <w16cid:commentId w16cid:paraId="5A6ACFFA" w16cid:durableId="24896D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1AFC8" w14:textId="77777777" w:rsidR="00A138BC" w:rsidRDefault="00A138BC" w:rsidP="00845677">
      <w:r>
        <w:separator/>
      </w:r>
    </w:p>
  </w:endnote>
  <w:endnote w:type="continuationSeparator" w:id="0">
    <w:p w14:paraId="54AFDBAD" w14:textId="77777777" w:rsidR="00A138BC" w:rsidRDefault="00A138BC"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F2EE9" w14:textId="77777777" w:rsidR="00A138BC" w:rsidRDefault="00A138BC" w:rsidP="00845677">
      <w:r>
        <w:separator/>
      </w:r>
    </w:p>
  </w:footnote>
  <w:footnote w:type="continuationSeparator" w:id="0">
    <w:p w14:paraId="26D9AD49" w14:textId="77777777" w:rsidR="00A138BC" w:rsidRDefault="00A138BC"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A138BC"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2pt;margin-top:-59.5pt;width:172.8pt;height:59.5pt;z-index:251661312;mso-position-horizontal-relative:margin;mso-position-vertical-relative:margin">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41567579" w:rsidR="00E33A80" w:rsidRPr="00E33A80" w:rsidRDefault="007D292F">
                          <w:pPr>
                            <w:rPr>
                              <w:rFonts w:ascii="Arial" w:hAnsi="Arial" w:cs="Arial"/>
                              <w:sz w:val="48"/>
                            </w:rPr>
                          </w:pPr>
                          <w:r>
                            <w:rPr>
                              <w:rFonts w:ascii="Arial" w:hAnsi="Arial" w:cs="Arial"/>
                              <w:sz w:val="48"/>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41567579" w:rsidR="00E33A80" w:rsidRPr="00E33A80" w:rsidRDefault="007D292F">
                    <w:pPr>
                      <w:rPr>
                        <w:rFonts w:ascii="Arial" w:hAnsi="Arial" w:cs="Arial"/>
                        <w:sz w:val="48"/>
                      </w:rPr>
                    </w:pPr>
                    <w:r>
                      <w:rPr>
                        <w:rFonts w:ascii="Arial" w:hAnsi="Arial" w:cs="Arial"/>
                        <w:sz w:val="48"/>
                      </w:rPr>
                      <w:t>News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45132"/>
    <w:rsid w:val="00055472"/>
    <w:rsid w:val="00083D1D"/>
    <w:rsid w:val="000F2843"/>
    <w:rsid w:val="0013391B"/>
    <w:rsid w:val="00170CFE"/>
    <w:rsid w:val="00195F33"/>
    <w:rsid w:val="001B6BCC"/>
    <w:rsid w:val="001F58CB"/>
    <w:rsid w:val="001F7DD6"/>
    <w:rsid w:val="00204021"/>
    <w:rsid w:val="00210FFD"/>
    <w:rsid w:val="00222328"/>
    <w:rsid w:val="00263A49"/>
    <w:rsid w:val="0026780F"/>
    <w:rsid w:val="00275ED7"/>
    <w:rsid w:val="002C5A8D"/>
    <w:rsid w:val="002E60BB"/>
    <w:rsid w:val="00304F73"/>
    <w:rsid w:val="00346FF1"/>
    <w:rsid w:val="00367B23"/>
    <w:rsid w:val="00385F71"/>
    <w:rsid w:val="00392DEB"/>
    <w:rsid w:val="003D1278"/>
    <w:rsid w:val="003E0D86"/>
    <w:rsid w:val="003E18F3"/>
    <w:rsid w:val="003E29BB"/>
    <w:rsid w:val="003F0E8F"/>
    <w:rsid w:val="004165F7"/>
    <w:rsid w:val="00416B45"/>
    <w:rsid w:val="00491448"/>
    <w:rsid w:val="004A1C37"/>
    <w:rsid w:val="004B3724"/>
    <w:rsid w:val="004F7D33"/>
    <w:rsid w:val="0055763B"/>
    <w:rsid w:val="0058228B"/>
    <w:rsid w:val="00594539"/>
    <w:rsid w:val="0059583D"/>
    <w:rsid w:val="005B2391"/>
    <w:rsid w:val="005E1394"/>
    <w:rsid w:val="005E1D39"/>
    <w:rsid w:val="005E3652"/>
    <w:rsid w:val="005E3785"/>
    <w:rsid w:val="005E6BFE"/>
    <w:rsid w:val="00621FA1"/>
    <w:rsid w:val="006335AF"/>
    <w:rsid w:val="00633AA7"/>
    <w:rsid w:val="00634EE4"/>
    <w:rsid w:val="00641089"/>
    <w:rsid w:val="00645BD9"/>
    <w:rsid w:val="00673251"/>
    <w:rsid w:val="00687B19"/>
    <w:rsid w:val="006A1735"/>
    <w:rsid w:val="006F2297"/>
    <w:rsid w:val="00707AD2"/>
    <w:rsid w:val="00711507"/>
    <w:rsid w:val="00723228"/>
    <w:rsid w:val="007304B4"/>
    <w:rsid w:val="00752923"/>
    <w:rsid w:val="00781762"/>
    <w:rsid w:val="00793D20"/>
    <w:rsid w:val="007D292F"/>
    <w:rsid w:val="00820376"/>
    <w:rsid w:val="00824297"/>
    <w:rsid w:val="00841700"/>
    <w:rsid w:val="00845677"/>
    <w:rsid w:val="0089392A"/>
    <w:rsid w:val="008B6D74"/>
    <w:rsid w:val="00913100"/>
    <w:rsid w:val="00955976"/>
    <w:rsid w:val="0099190B"/>
    <w:rsid w:val="009E3C0C"/>
    <w:rsid w:val="00A066D4"/>
    <w:rsid w:val="00A138BC"/>
    <w:rsid w:val="00A23A7B"/>
    <w:rsid w:val="00A36474"/>
    <w:rsid w:val="00A42A24"/>
    <w:rsid w:val="00A53487"/>
    <w:rsid w:val="00AA4E93"/>
    <w:rsid w:val="00AF4863"/>
    <w:rsid w:val="00B02824"/>
    <w:rsid w:val="00B17FBA"/>
    <w:rsid w:val="00B32A38"/>
    <w:rsid w:val="00B60BDD"/>
    <w:rsid w:val="00B63711"/>
    <w:rsid w:val="00B8672F"/>
    <w:rsid w:val="00BB374D"/>
    <w:rsid w:val="00BF6D6B"/>
    <w:rsid w:val="00C179B4"/>
    <w:rsid w:val="00C20B82"/>
    <w:rsid w:val="00C25E1B"/>
    <w:rsid w:val="00C4035E"/>
    <w:rsid w:val="00C7385E"/>
    <w:rsid w:val="00C871EE"/>
    <w:rsid w:val="00CA2C8D"/>
    <w:rsid w:val="00CD5A3E"/>
    <w:rsid w:val="00CE7FC9"/>
    <w:rsid w:val="00D0028A"/>
    <w:rsid w:val="00D35710"/>
    <w:rsid w:val="00D65C5B"/>
    <w:rsid w:val="00D925F8"/>
    <w:rsid w:val="00DD4BC2"/>
    <w:rsid w:val="00DD7EE6"/>
    <w:rsid w:val="00E02B25"/>
    <w:rsid w:val="00E07F5C"/>
    <w:rsid w:val="00E17153"/>
    <w:rsid w:val="00E2177B"/>
    <w:rsid w:val="00E23197"/>
    <w:rsid w:val="00E33A80"/>
    <w:rsid w:val="00E92806"/>
    <w:rsid w:val="00E95598"/>
    <w:rsid w:val="00E974B8"/>
    <w:rsid w:val="00ED0FF0"/>
    <w:rsid w:val="00F21AD3"/>
    <w:rsid w:val="00F36854"/>
    <w:rsid w:val="00F6588A"/>
    <w:rsid w:val="00F84075"/>
    <w:rsid w:val="00F93553"/>
    <w:rsid w:val="00F95980"/>
    <w:rsid w:val="00FB0B6B"/>
    <w:rsid w:val="00FB6B76"/>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tdata.com/global/en/" TargetMode="External"/><Relationship Id="rId13" Type="http://schemas.openxmlformats.org/officeDocument/2006/relationships/hyperlink" Target="mailto:g.oelschlaeger@storymaker.de"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mailto:cornelia.spitzer@nttdata.com"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nttdat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t.nttdata.com/" TargetMode="External"/><Relationship Id="rId4" Type="http://schemas.openxmlformats.org/officeDocument/2006/relationships/webSettings" Target="webSettings.xml"/><Relationship Id="rId9" Type="http://schemas.openxmlformats.org/officeDocument/2006/relationships/hyperlink" Target="https://de.nttdat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4552</Characters>
  <Application>Microsoft Office Word</Application>
  <DocSecurity>0</DocSecurity>
  <Lines>37</Lines>
  <Paragraphs>10</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2</cp:revision>
  <dcterms:created xsi:type="dcterms:W3CDTF">2021-07-02T09:08:00Z</dcterms:created>
  <dcterms:modified xsi:type="dcterms:W3CDTF">2021-07-02T09:08:00Z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