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76EE" w14:textId="21A50663" w:rsidR="00F31AD1" w:rsidRPr="006A1C6A" w:rsidRDefault="00E9288E" w:rsidP="008E7C39">
      <w:pPr>
        <w:pStyle w:val="Default"/>
        <w:jc w:val="both"/>
        <w:rPr>
          <w:rStyle w:val="Fett"/>
          <w:rFonts w:eastAsia="Arial"/>
          <w:b w:val="0"/>
          <w:color w:val="auto"/>
          <w:lang w:eastAsia="de-DE"/>
        </w:rPr>
      </w:pPr>
      <w:r w:rsidRPr="006A1C6A">
        <w:rPr>
          <w:rFonts w:ascii="Arial" w:hAnsi="Arial" w:cs="Arial"/>
          <w:i/>
          <w:color w:val="auto"/>
          <w:sz w:val="20"/>
          <w:szCs w:val="20"/>
          <w:lang w:val="de-DE"/>
        </w:rPr>
        <w:t>Kunden</w:t>
      </w:r>
      <w:r w:rsidR="008E7C39" w:rsidRPr="006A1C6A">
        <w:rPr>
          <w:rFonts w:ascii="Arial" w:hAnsi="Arial" w:cs="Arial"/>
          <w:i/>
          <w:color w:val="auto"/>
          <w:sz w:val="20"/>
          <w:szCs w:val="20"/>
          <w:lang w:val="de-DE"/>
        </w:rPr>
        <w:t xml:space="preserve"> würden für </w:t>
      </w:r>
      <w:r w:rsidR="00A6727D" w:rsidRPr="006A1C6A">
        <w:rPr>
          <w:rFonts w:ascii="Arial" w:hAnsi="Arial" w:cs="Arial"/>
          <w:i/>
          <w:color w:val="auto"/>
          <w:sz w:val="20"/>
          <w:szCs w:val="20"/>
          <w:lang w:val="de-DE"/>
        </w:rPr>
        <w:t xml:space="preserve">stark </w:t>
      </w:r>
      <w:r w:rsidR="008E7C39" w:rsidRPr="006A1C6A">
        <w:rPr>
          <w:rFonts w:ascii="Arial" w:hAnsi="Arial" w:cs="Arial"/>
          <w:i/>
          <w:color w:val="auto"/>
          <w:sz w:val="20"/>
          <w:szCs w:val="20"/>
          <w:lang w:val="de-DE"/>
        </w:rPr>
        <w:t>individualisierte Finanzdienstleistungen persönliche Daten preisgeben und mehr bezahlen</w:t>
      </w:r>
    </w:p>
    <w:p w14:paraId="5FAFE05A" w14:textId="16166870" w:rsidR="00E9288E" w:rsidRPr="006A1C6A" w:rsidRDefault="00E9288E" w:rsidP="00E9288E">
      <w:pPr>
        <w:pStyle w:val="Default"/>
        <w:rPr>
          <w:rStyle w:val="Fett"/>
          <w:rFonts w:ascii="Arial" w:eastAsia="Arial" w:hAnsi="Arial" w:cs="Arial"/>
          <w:color w:val="auto"/>
          <w:lang w:val="de-DE" w:eastAsia="de-DE"/>
        </w:rPr>
      </w:pPr>
      <w:r w:rsidRPr="006A1C6A">
        <w:rPr>
          <w:rStyle w:val="Fett"/>
          <w:rFonts w:ascii="Arial" w:eastAsia="Arial" w:hAnsi="Arial" w:cs="Arial"/>
          <w:color w:val="auto"/>
          <w:lang w:val="de-DE" w:eastAsia="de-DE"/>
        </w:rPr>
        <w:t>Studie von NTT DATA: Kunden wünschen sich Finanzinstitute als verantwortungsbewusste Berater bei wichtigen Ausgabenentscheidungen</w:t>
      </w:r>
    </w:p>
    <w:p w14:paraId="0BD283F3" w14:textId="61D22550" w:rsidR="00A372D2" w:rsidRPr="006A1C6A" w:rsidRDefault="00532E29" w:rsidP="00B76440">
      <w:pPr>
        <w:jc w:val="both"/>
        <w:rPr>
          <w:rFonts w:eastAsia="Times New Roman" w:cs="Arial"/>
          <w:color w:val="auto"/>
          <w:szCs w:val="24"/>
          <w:lang w:val="de-DE" w:eastAsia="de-DE"/>
        </w:rPr>
      </w:pPr>
      <w:r w:rsidRPr="006A1C6A">
        <w:rPr>
          <w:rFonts w:cs="Arial"/>
          <w:b/>
          <w:color w:val="auto"/>
          <w:lang w:val="de-DE"/>
        </w:rPr>
        <w:t>München,</w:t>
      </w:r>
      <w:r w:rsidR="00B76440" w:rsidRPr="006A1C6A">
        <w:rPr>
          <w:rFonts w:cs="Arial"/>
          <w:b/>
          <w:color w:val="auto"/>
          <w:lang w:val="de-DE"/>
        </w:rPr>
        <w:t xml:space="preserve"> </w:t>
      </w:r>
      <w:r w:rsidRPr="006A1C6A">
        <w:rPr>
          <w:rFonts w:cs="Arial"/>
          <w:b/>
          <w:color w:val="auto"/>
          <w:lang w:val="de-DE"/>
        </w:rPr>
        <w:t>2</w:t>
      </w:r>
      <w:r w:rsidR="006E14B5">
        <w:rPr>
          <w:rFonts w:cs="Arial"/>
          <w:b/>
          <w:color w:val="auto"/>
          <w:lang w:val="de-DE"/>
        </w:rPr>
        <w:t>5</w:t>
      </w:r>
      <w:r w:rsidRPr="006A1C6A">
        <w:rPr>
          <w:rFonts w:cs="Arial"/>
          <w:b/>
          <w:color w:val="auto"/>
          <w:lang w:val="de-DE"/>
        </w:rPr>
        <w:t>.</w:t>
      </w:r>
      <w:r w:rsidR="00B76440" w:rsidRPr="006A1C6A">
        <w:rPr>
          <w:rFonts w:cs="Arial"/>
          <w:b/>
          <w:color w:val="auto"/>
          <w:lang w:val="de-DE"/>
        </w:rPr>
        <w:t xml:space="preserve"> Februar 2021 </w:t>
      </w:r>
      <w:r w:rsidR="00B76440" w:rsidRPr="006A1C6A">
        <w:rPr>
          <w:rFonts w:eastAsia="Times New Roman" w:cs="Arial"/>
          <w:color w:val="auto"/>
          <w:szCs w:val="24"/>
          <w:lang w:val="de-DE" w:eastAsia="de-DE"/>
        </w:rPr>
        <w:t xml:space="preserve">— </w:t>
      </w:r>
      <w:r w:rsidR="00E9288E" w:rsidRPr="006A1C6A">
        <w:rPr>
          <w:rFonts w:cs="Arial"/>
          <w:bCs/>
          <w:color w:val="auto"/>
          <w:szCs w:val="20"/>
          <w:lang w:val="de-DE"/>
        </w:rPr>
        <w:t>Finanzinstitute sollten künftig eine aktivere Rolle in der Beratung ihrer Kundinnen und Kunden spielen. Um Kundenakquise und Kundenbindung zu verbessern, müssen sie mehr Daten in Echtzeit auswerten und Künstliche Intelligenz nutzen. Zu diesem Ergebnis k</w:t>
      </w:r>
      <w:r w:rsidR="00E9288E" w:rsidRPr="006A1C6A">
        <w:rPr>
          <w:rFonts w:cs="Arial"/>
          <w:color w:val="auto"/>
          <w:szCs w:val="20"/>
          <w:lang w:val="de-DE"/>
        </w:rPr>
        <w:t>ommt eine aktuelle Studie von NTT DATA. Darin gaben Kundinnen und Kunden aus aller Welt an, was sie sich von ihrem Finanzinstitut wünschen:</w:t>
      </w:r>
    </w:p>
    <w:p w14:paraId="7C638EA3"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53 Prozent möchten, dass ihr Finanzinstitut (FI) sie proaktiv auf anstehende größere Zahlungen hinweist</w:t>
      </w:r>
    </w:p>
    <w:p w14:paraId="1264013F"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49 Prozent möchten von ihrem FI Vorschläge für Produkte und Dienstleistungen, die sie interessieren könnten</w:t>
      </w:r>
    </w:p>
    <w:p w14:paraId="21909572"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47 Prozent wollen, dass ihr FI die Zusammenhänge zwischen Einnahmen, Ausgaben und Ersparnissen aufzeigt und ihnen vorausschauend hilft, ihre finanziellen Ziele zu erreichen</w:t>
      </w:r>
    </w:p>
    <w:p w14:paraId="42C1FBCC"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46 Prozent wünschen sich, dass ihr Finanzinstitut als gewissenhafte „Stimme der Vernunft“ bei wichtigen Ausgabenentscheidungen agiert</w:t>
      </w:r>
    </w:p>
    <w:p w14:paraId="26E5A298" w14:textId="3DAAF2E1" w:rsidR="00E9288E" w:rsidRPr="006A1C6A" w:rsidRDefault="00E9288E" w:rsidP="00E9288E">
      <w:pPr>
        <w:spacing w:after="0"/>
        <w:rPr>
          <w:rFonts w:cs="Arial"/>
          <w:color w:val="auto"/>
          <w:szCs w:val="20"/>
          <w:lang w:val="de-DE"/>
        </w:rPr>
      </w:pPr>
      <w:r w:rsidRPr="006A1C6A">
        <w:rPr>
          <w:rFonts w:cs="Arial"/>
          <w:color w:val="auto"/>
          <w:szCs w:val="20"/>
          <w:lang w:val="de-DE"/>
        </w:rPr>
        <w:t>– 39 Prozent würden es begrüßen, wenn ihr Finanzinstitut eingreift und Käufe verhindert, um ihnen zu helfen, ihren Haushaltsplan einzuhalten</w:t>
      </w:r>
    </w:p>
    <w:p w14:paraId="2DDBCD84" w14:textId="5DFE750E" w:rsidR="00E9288E" w:rsidRPr="006A1C6A" w:rsidRDefault="00E9288E" w:rsidP="00E9288E">
      <w:pPr>
        <w:spacing w:after="0"/>
        <w:rPr>
          <w:rFonts w:cs="Arial"/>
          <w:color w:val="auto"/>
          <w:szCs w:val="20"/>
          <w:lang w:val="de-DE"/>
        </w:rPr>
      </w:pPr>
      <w:r w:rsidRPr="006A1C6A">
        <w:rPr>
          <w:rFonts w:cs="Arial"/>
          <w:color w:val="auto"/>
          <w:szCs w:val="20"/>
          <w:lang w:val="de-DE"/>
        </w:rPr>
        <w:t>„</w:t>
      </w:r>
      <w:r w:rsidR="005532CB" w:rsidRPr="006A1C6A">
        <w:rPr>
          <w:rFonts w:cs="Arial"/>
          <w:color w:val="auto"/>
          <w:szCs w:val="20"/>
          <w:lang w:val="de-DE"/>
        </w:rPr>
        <w:t>Finanzinstitute sind gefordert, die Art und Weise wie sie mit Kundinnen und Kunden interagieren, an deren veränderte B</w:t>
      </w:r>
      <w:r w:rsidRPr="006A1C6A">
        <w:rPr>
          <w:rFonts w:cs="Arial"/>
          <w:color w:val="auto"/>
          <w:szCs w:val="20"/>
          <w:lang w:val="de-DE"/>
        </w:rPr>
        <w:t>edürfnisse</w:t>
      </w:r>
      <w:r w:rsidR="005532CB" w:rsidRPr="006A1C6A">
        <w:rPr>
          <w:rFonts w:cs="Arial"/>
          <w:color w:val="auto"/>
          <w:szCs w:val="20"/>
          <w:lang w:val="de-DE"/>
        </w:rPr>
        <w:t xml:space="preserve"> anzupassen</w:t>
      </w:r>
      <w:r w:rsidRPr="006A1C6A">
        <w:rPr>
          <w:rFonts w:cs="Arial"/>
          <w:color w:val="auto"/>
          <w:szCs w:val="20"/>
          <w:lang w:val="de-DE"/>
        </w:rPr>
        <w:t xml:space="preserve">“, sagt Ralf Baust, Head </w:t>
      </w:r>
      <w:proofErr w:type="spellStart"/>
      <w:r w:rsidRPr="006A1C6A">
        <w:rPr>
          <w:rFonts w:cs="Arial"/>
          <w:color w:val="auto"/>
          <w:szCs w:val="20"/>
          <w:lang w:val="de-DE"/>
        </w:rPr>
        <w:t>of</w:t>
      </w:r>
      <w:proofErr w:type="spellEnd"/>
      <w:r w:rsidRPr="006A1C6A">
        <w:rPr>
          <w:rFonts w:cs="Arial"/>
          <w:color w:val="auto"/>
          <w:szCs w:val="20"/>
          <w:lang w:val="de-DE"/>
        </w:rPr>
        <w:t xml:space="preserve"> Banking bei NTT DATA DACH. „</w:t>
      </w:r>
      <w:r w:rsidR="005532CB" w:rsidRPr="006A1C6A">
        <w:rPr>
          <w:rFonts w:cs="Arial"/>
          <w:color w:val="auto"/>
          <w:szCs w:val="20"/>
          <w:lang w:val="de-DE"/>
        </w:rPr>
        <w:t xml:space="preserve">Die globale Studie zeigt, dass sich Konsumenten ein proaktives und personalisiertes Banking wünschen. Technologien wie Künstliche Intelligenz </w:t>
      </w:r>
      <w:r w:rsidR="0077345F" w:rsidRPr="006A1C6A">
        <w:rPr>
          <w:rFonts w:cs="Arial"/>
          <w:color w:val="auto"/>
          <w:szCs w:val="20"/>
          <w:lang w:val="de-DE"/>
        </w:rPr>
        <w:t xml:space="preserve">in kundentransparenter Form </w:t>
      </w:r>
      <w:r w:rsidR="005532CB" w:rsidRPr="006A1C6A">
        <w:rPr>
          <w:rFonts w:cs="Arial"/>
          <w:color w:val="auto"/>
          <w:szCs w:val="20"/>
          <w:lang w:val="de-DE"/>
        </w:rPr>
        <w:t xml:space="preserve">können die Vertrauens- und Erfolgsfaktoren für </w:t>
      </w:r>
      <w:r w:rsidR="0077345F" w:rsidRPr="006A1C6A">
        <w:rPr>
          <w:rFonts w:cs="Arial"/>
          <w:color w:val="auto"/>
          <w:szCs w:val="20"/>
          <w:lang w:val="de-DE"/>
        </w:rPr>
        <w:t xml:space="preserve">das </w:t>
      </w:r>
      <w:r w:rsidR="005532CB" w:rsidRPr="006A1C6A">
        <w:rPr>
          <w:rFonts w:cs="Arial"/>
          <w:color w:val="auto"/>
          <w:szCs w:val="20"/>
          <w:lang w:val="de-DE"/>
        </w:rPr>
        <w:t>Bank</w:t>
      </w:r>
      <w:r w:rsidR="0077345F" w:rsidRPr="006A1C6A">
        <w:rPr>
          <w:rFonts w:cs="Arial"/>
          <w:color w:val="auto"/>
          <w:szCs w:val="20"/>
          <w:lang w:val="de-DE"/>
        </w:rPr>
        <w:t>ing</w:t>
      </w:r>
      <w:r w:rsidR="005532CB" w:rsidRPr="006A1C6A">
        <w:rPr>
          <w:rFonts w:cs="Arial"/>
          <w:color w:val="auto"/>
          <w:szCs w:val="20"/>
          <w:lang w:val="de-DE"/>
        </w:rPr>
        <w:t xml:space="preserve"> von morgen werden</w:t>
      </w:r>
      <w:r w:rsidRPr="006A1C6A">
        <w:rPr>
          <w:rFonts w:cs="Arial"/>
          <w:color w:val="auto"/>
          <w:szCs w:val="20"/>
          <w:lang w:val="de-DE"/>
        </w:rPr>
        <w:t>.“</w:t>
      </w:r>
    </w:p>
    <w:p w14:paraId="48B1042D" w14:textId="534B2102" w:rsidR="008E7C39" w:rsidRPr="006A1C6A" w:rsidRDefault="00E9288E" w:rsidP="008E7C39">
      <w:pPr>
        <w:spacing w:after="0"/>
        <w:rPr>
          <w:rFonts w:cs="Arial"/>
          <w:color w:val="auto"/>
          <w:szCs w:val="20"/>
          <w:lang w:val="de-DE"/>
        </w:rPr>
      </w:pPr>
      <w:r w:rsidRPr="006A1C6A">
        <w:rPr>
          <w:rFonts w:cs="Arial"/>
          <w:color w:val="auto"/>
          <w:szCs w:val="20"/>
          <w:lang w:val="de-DE"/>
        </w:rPr>
        <w:t>Um diese Erwartungen zu erfüllen, brauchen Finanzinstitute sowohl präzise Echtzeitdaten bei jeder Interaktion mit ihrem Kundenstamm als auch die Fähigkeit, mit KI die richtigen Erkenntnisse daraus zu ziehen. So können sie Bedürfnisse antizipieren, eine personalisierte Finanzberatung anbieten, den Datenschutz verbessern, manuelle Transaktionen automatisieren und proaktiv warnen.</w:t>
      </w:r>
    </w:p>
    <w:p w14:paraId="5F519E90" w14:textId="77777777" w:rsidR="00DC7779" w:rsidRPr="006A1C6A" w:rsidRDefault="00DC7779" w:rsidP="00DC7779">
      <w:pPr>
        <w:spacing w:after="0"/>
        <w:rPr>
          <w:rFonts w:cs="Arial"/>
          <w:color w:val="auto"/>
          <w:szCs w:val="20"/>
          <w:lang w:val="de-DE"/>
        </w:rPr>
      </w:pPr>
      <w:r w:rsidRPr="006A1C6A">
        <w:rPr>
          <w:rFonts w:cs="Arial"/>
          <w:color w:val="auto"/>
          <w:szCs w:val="20"/>
          <w:lang w:val="de-DE"/>
        </w:rPr>
        <w:t xml:space="preserve">„Für Finanzinstitute sind Futuristen das wichtigste Kundensegment, das es zu verstehen gilt, denn sie stellen eine große Chance für Wachstum und Kundenbindung dar", sagt </w:t>
      </w:r>
      <w:proofErr w:type="spellStart"/>
      <w:r w:rsidRPr="006A1C6A">
        <w:rPr>
          <w:rFonts w:cs="Arial"/>
          <w:color w:val="auto"/>
          <w:szCs w:val="20"/>
          <w:lang w:val="de-DE"/>
        </w:rPr>
        <w:t>Kaz</w:t>
      </w:r>
      <w:proofErr w:type="spellEnd"/>
      <w:r w:rsidRPr="006A1C6A">
        <w:rPr>
          <w:rFonts w:cs="Arial"/>
          <w:color w:val="auto"/>
          <w:szCs w:val="20"/>
          <w:lang w:val="de-DE"/>
        </w:rPr>
        <w:t xml:space="preserve"> </w:t>
      </w:r>
      <w:proofErr w:type="spellStart"/>
      <w:r w:rsidRPr="006A1C6A">
        <w:rPr>
          <w:rFonts w:cs="Arial"/>
          <w:color w:val="auto"/>
          <w:szCs w:val="20"/>
          <w:lang w:val="de-DE"/>
        </w:rPr>
        <w:t>Nishihata</w:t>
      </w:r>
      <w:proofErr w:type="spellEnd"/>
      <w:r w:rsidRPr="006A1C6A">
        <w:rPr>
          <w:rFonts w:cs="Arial"/>
          <w:color w:val="auto"/>
          <w:szCs w:val="20"/>
          <w:lang w:val="de-DE"/>
        </w:rPr>
        <w:t xml:space="preserve">, Executive </w:t>
      </w:r>
      <w:proofErr w:type="spellStart"/>
      <w:r w:rsidRPr="006A1C6A">
        <w:rPr>
          <w:rFonts w:cs="Arial"/>
          <w:color w:val="auto"/>
          <w:szCs w:val="20"/>
          <w:lang w:val="de-DE"/>
        </w:rPr>
        <w:t>Vice</w:t>
      </w:r>
      <w:proofErr w:type="spellEnd"/>
      <w:r w:rsidRPr="006A1C6A">
        <w:rPr>
          <w:rFonts w:cs="Arial"/>
          <w:color w:val="auto"/>
          <w:szCs w:val="20"/>
          <w:lang w:val="de-DE"/>
        </w:rPr>
        <w:t xml:space="preserve"> </w:t>
      </w:r>
      <w:proofErr w:type="spellStart"/>
      <w:r w:rsidRPr="006A1C6A">
        <w:rPr>
          <w:rFonts w:cs="Arial"/>
          <w:color w:val="auto"/>
          <w:szCs w:val="20"/>
          <w:lang w:val="de-DE"/>
        </w:rPr>
        <w:t>President</w:t>
      </w:r>
      <w:proofErr w:type="spellEnd"/>
      <w:r w:rsidRPr="006A1C6A">
        <w:rPr>
          <w:rFonts w:cs="Arial"/>
          <w:color w:val="auto"/>
          <w:szCs w:val="20"/>
          <w:lang w:val="de-DE"/>
        </w:rPr>
        <w:t xml:space="preserve"> bei NTT DATA. „Wir glauben, dass der technologische Fortschritt im Laufe der Zeit aus dem Kundensegment, das heute nicht für personalisierte, proaktive Dienste zahlen will, Futuristen machen wird."</w:t>
      </w:r>
    </w:p>
    <w:p w14:paraId="34A829BB" w14:textId="527E4E12" w:rsidR="00E9288E" w:rsidRPr="006A1C6A" w:rsidRDefault="00E9288E" w:rsidP="00E9288E">
      <w:pPr>
        <w:spacing w:after="0"/>
        <w:rPr>
          <w:rFonts w:cs="Arial"/>
          <w:color w:val="auto"/>
          <w:szCs w:val="20"/>
          <w:lang w:val="de-DE"/>
        </w:rPr>
      </w:pPr>
      <w:r w:rsidRPr="006A1C6A">
        <w:rPr>
          <w:rFonts w:cs="Arial"/>
          <w:color w:val="auto"/>
          <w:szCs w:val="20"/>
          <w:lang w:val="de-DE"/>
        </w:rPr>
        <w:t>Im Rahmen der Studie befragte NTT DATA im Dezember 2020 4.807 Verbraucher und 476 Führungskräfte aus den Bereichen Bankwesen, Brokerage, Kapitalm</w:t>
      </w:r>
      <w:r w:rsidR="0077345F" w:rsidRPr="006A1C6A">
        <w:rPr>
          <w:rFonts w:cs="Arial"/>
          <w:color w:val="auto"/>
          <w:szCs w:val="20"/>
          <w:lang w:val="de-DE"/>
        </w:rPr>
        <w:t>a</w:t>
      </w:r>
      <w:r w:rsidRPr="006A1C6A">
        <w:rPr>
          <w:rFonts w:cs="Arial"/>
          <w:color w:val="auto"/>
          <w:szCs w:val="20"/>
          <w:lang w:val="de-DE"/>
        </w:rPr>
        <w:t>rkt, Vermögensverwaltung sowie Karten</w:t>
      </w:r>
      <w:r w:rsidR="0077345F" w:rsidRPr="006A1C6A">
        <w:rPr>
          <w:rFonts w:cs="Arial"/>
          <w:color w:val="auto"/>
          <w:szCs w:val="20"/>
          <w:lang w:val="de-DE"/>
        </w:rPr>
        <w:t>geschäft</w:t>
      </w:r>
      <w:r w:rsidRPr="006A1C6A">
        <w:rPr>
          <w:rFonts w:cs="Arial"/>
          <w:color w:val="auto"/>
          <w:szCs w:val="20"/>
          <w:lang w:val="de-DE"/>
        </w:rPr>
        <w:t xml:space="preserve"> und </w:t>
      </w:r>
      <w:r w:rsidR="0077345F" w:rsidRPr="006A1C6A">
        <w:rPr>
          <w:rFonts w:cs="Arial"/>
          <w:color w:val="auto"/>
          <w:szCs w:val="20"/>
          <w:lang w:val="de-DE"/>
        </w:rPr>
        <w:t xml:space="preserve">Zahlungsverkehr </w:t>
      </w:r>
      <w:r w:rsidRPr="006A1C6A">
        <w:rPr>
          <w:rFonts w:cs="Arial"/>
          <w:color w:val="auto"/>
          <w:szCs w:val="20"/>
          <w:lang w:val="de-DE"/>
        </w:rPr>
        <w:t xml:space="preserve">in den USA, Großbritannien, Deutschland, Spanien, Italien, Japan, Brasilien und Mexiko. Die Kernfrage dabei: Wie kann KI </w:t>
      </w:r>
      <w:r w:rsidRPr="006A1C6A">
        <w:rPr>
          <w:rFonts w:cs="Arial"/>
          <w:color w:val="auto"/>
          <w:szCs w:val="20"/>
          <w:lang w:val="de-DE"/>
        </w:rPr>
        <w:lastRenderedPageBreak/>
        <w:t>Finanzinstitute in die Lage versetzen, in einer digitalen Welt Kunden zu gewinnen und zu binden?</w:t>
      </w:r>
    </w:p>
    <w:p w14:paraId="3255C67F" w14:textId="77777777" w:rsidR="00E9288E" w:rsidRPr="006A1C6A" w:rsidRDefault="00E9288E" w:rsidP="00E9288E">
      <w:pPr>
        <w:spacing w:after="0"/>
        <w:rPr>
          <w:rFonts w:cs="Arial"/>
          <w:color w:val="auto"/>
          <w:szCs w:val="20"/>
          <w:lang w:val="de-DE"/>
        </w:rPr>
      </w:pPr>
    </w:p>
    <w:p w14:paraId="1FACCEA1" w14:textId="77777777" w:rsidR="00E9288E" w:rsidRPr="006A1C6A" w:rsidRDefault="00E9288E" w:rsidP="00E9288E">
      <w:pPr>
        <w:spacing w:after="0"/>
        <w:rPr>
          <w:rFonts w:cs="Arial"/>
          <w:b/>
          <w:bCs/>
          <w:color w:val="auto"/>
          <w:szCs w:val="20"/>
          <w:lang w:val="de-DE"/>
        </w:rPr>
      </w:pPr>
      <w:r w:rsidRPr="006A1C6A">
        <w:rPr>
          <w:rFonts w:cs="Arial"/>
          <w:b/>
          <w:bCs/>
          <w:color w:val="auto"/>
          <w:szCs w:val="20"/>
          <w:lang w:val="de-DE"/>
        </w:rPr>
        <w:t>Hier die zentralen Ergebnisse der Studie im Überblick:</w:t>
      </w:r>
    </w:p>
    <w:p w14:paraId="16A1F822" w14:textId="6E8C43EA" w:rsidR="00E9288E" w:rsidRPr="006A1C6A" w:rsidRDefault="00E9288E" w:rsidP="00E9288E">
      <w:pPr>
        <w:spacing w:after="0"/>
        <w:rPr>
          <w:rFonts w:cs="Arial"/>
          <w:color w:val="auto"/>
          <w:szCs w:val="20"/>
          <w:lang w:val="de-DE"/>
        </w:rPr>
      </w:pPr>
      <w:r w:rsidRPr="006A1C6A">
        <w:rPr>
          <w:rFonts w:cs="Arial"/>
          <w:b/>
          <w:bCs/>
          <w:color w:val="auto"/>
          <w:szCs w:val="20"/>
          <w:lang w:val="de-DE"/>
        </w:rPr>
        <w:t>Warum Kunden ihr Finanzinstitut verlassen</w:t>
      </w:r>
      <w:r w:rsidRPr="006A1C6A">
        <w:rPr>
          <w:rFonts w:cs="Arial"/>
          <w:color w:val="auto"/>
          <w:szCs w:val="20"/>
          <w:lang w:val="de-DE"/>
        </w:rPr>
        <w:t xml:space="preserve"> </w:t>
      </w:r>
    </w:p>
    <w:p w14:paraId="5EB8F7D5" w14:textId="77777777" w:rsidR="00E9288E" w:rsidRPr="006A1C6A" w:rsidRDefault="00E9288E" w:rsidP="00E9288E">
      <w:pPr>
        <w:spacing w:after="0"/>
        <w:rPr>
          <w:rFonts w:cs="Arial"/>
          <w:color w:val="auto"/>
          <w:szCs w:val="20"/>
          <w:lang w:val="de-DE"/>
        </w:rPr>
      </w:pPr>
      <w:r w:rsidRPr="006A1C6A">
        <w:rPr>
          <w:rFonts w:cs="Arial"/>
          <w:color w:val="auto"/>
          <w:szCs w:val="20"/>
          <w:lang w:val="de-DE"/>
        </w:rPr>
        <w:t>Die fünf wichtigsten Gründe für den Wechsel sind –</w:t>
      </w:r>
      <w:r w:rsidRPr="006A1C6A" w:rsidDel="00957996">
        <w:rPr>
          <w:rFonts w:cs="Arial"/>
          <w:color w:val="auto"/>
          <w:szCs w:val="20"/>
          <w:lang w:val="de-DE"/>
        </w:rPr>
        <w:t xml:space="preserve"> </w:t>
      </w:r>
      <w:r w:rsidRPr="006A1C6A">
        <w:rPr>
          <w:rFonts w:cs="Arial"/>
          <w:color w:val="auto"/>
          <w:szCs w:val="20"/>
          <w:lang w:val="de-DE"/>
        </w:rPr>
        <w:t xml:space="preserve">in der Reihenfolge der Priorität: </w:t>
      </w:r>
    </w:p>
    <w:p w14:paraId="79088B28"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Hohe Gebühren</w:t>
      </w:r>
    </w:p>
    <w:p w14:paraId="57CF6322"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Schlechter Kundenservice</w:t>
      </w:r>
    </w:p>
    <w:p w14:paraId="4A1AF4E1"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Datenschutzverletzungen</w:t>
      </w:r>
    </w:p>
    <w:p w14:paraId="07313A4D"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Unattraktive Spar- und Darlehenszinsen</w:t>
      </w:r>
    </w:p>
    <w:p w14:paraId="0696584B"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Konkurrenzangebote</w:t>
      </w:r>
    </w:p>
    <w:p w14:paraId="54C2A444" w14:textId="77777777" w:rsidR="00E9288E" w:rsidRPr="006A1C6A" w:rsidRDefault="00E9288E" w:rsidP="00E9288E">
      <w:pPr>
        <w:spacing w:after="0"/>
        <w:rPr>
          <w:rFonts w:cs="Arial"/>
          <w:b/>
          <w:bCs/>
          <w:color w:val="auto"/>
          <w:szCs w:val="20"/>
          <w:lang w:val="de-DE"/>
        </w:rPr>
      </w:pPr>
      <w:r w:rsidRPr="006A1C6A">
        <w:rPr>
          <w:rFonts w:cs="Arial"/>
          <w:b/>
          <w:bCs/>
          <w:color w:val="auto"/>
          <w:szCs w:val="20"/>
          <w:lang w:val="de-DE"/>
        </w:rPr>
        <w:t xml:space="preserve">Vertrauen ist elementar </w:t>
      </w:r>
    </w:p>
    <w:p w14:paraId="4A2498C6"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66 Prozent der befragten Kundinnen und Kunden erwarten, dass ihr Finanzinstitut Fehler zugibt und korrigiert;</w:t>
      </w:r>
    </w:p>
    <w:p w14:paraId="7905B61F"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59 Prozent erwarten, dass Finanzinstitute ihre Versprechen halten. Das bedeutet zugesagte Zahlungsfristen einhalten und Daten wirksam schützen.</w:t>
      </w:r>
    </w:p>
    <w:p w14:paraId="175DCCB4" w14:textId="77777777" w:rsidR="00E9288E" w:rsidRPr="006A1C6A" w:rsidRDefault="00E9288E" w:rsidP="00E9288E">
      <w:pPr>
        <w:spacing w:after="0"/>
        <w:rPr>
          <w:rFonts w:cs="Arial"/>
          <w:b/>
          <w:bCs/>
          <w:color w:val="auto"/>
          <w:szCs w:val="20"/>
          <w:lang w:val="de-DE"/>
        </w:rPr>
      </w:pPr>
      <w:r w:rsidRPr="006A1C6A">
        <w:rPr>
          <w:rFonts w:cs="Arial"/>
          <w:b/>
          <w:bCs/>
          <w:color w:val="auto"/>
          <w:szCs w:val="20"/>
          <w:lang w:val="de-DE"/>
        </w:rPr>
        <w:t xml:space="preserve">Kunden sind bereit, mehr zu zahlen </w:t>
      </w:r>
    </w:p>
    <w:p w14:paraId="0482E3D8" w14:textId="77777777" w:rsidR="00E9288E" w:rsidRPr="006A1C6A" w:rsidRDefault="00E9288E" w:rsidP="00E9288E">
      <w:pPr>
        <w:spacing w:after="0"/>
        <w:rPr>
          <w:rFonts w:cs="Arial"/>
          <w:color w:val="auto"/>
          <w:szCs w:val="20"/>
          <w:lang w:val="de-DE"/>
        </w:rPr>
      </w:pPr>
      <w:r w:rsidRPr="006A1C6A">
        <w:rPr>
          <w:rFonts w:cs="Arial"/>
          <w:color w:val="auto"/>
          <w:szCs w:val="20"/>
          <w:lang w:val="de-DE"/>
        </w:rPr>
        <w:t>Für personalisierte Empfehlungen, mit denen sie ihren finanziellen Wohlstand steigern können, würden Kunden, die zur Generation X oder den Millennials gehören, auch mehr bezahlen.</w:t>
      </w:r>
    </w:p>
    <w:p w14:paraId="2C6B8FC4"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35 Prozent der Befragten sind bereit, für personalisierte proaktive Dienste zu zahlen und persönliche Daten zu teilen</w:t>
      </w:r>
    </w:p>
    <w:p w14:paraId="357711D1"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Diese „Futuristen“ sind überwiegend Kundinnen und Kunden der Generation X und Millennials, 35 bis 44 Jahre alt, verfügen über ein höheres Einkommen, haben viele Bankbeziehungen, sind im Umgang mit Technologie versiert und nutzen bevorzugt digitale Produkte und Dienstleistungen</w:t>
      </w:r>
    </w:p>
    <w:p w14:paraId="33F360EF" w14:textId="5285DC15" w:rsidR="00E9288E" w:rsidRPr="006A1C6A" w:rsidRDefault="00E9288E" w:rsidP="00E9288E">
      <w:pPr>
        <w:spacing w:after="0"/>
        <w:rPr>
          <w:rFonts w:cs="Arial"/>
          <w:color w:val="auto"/>
          <w:szCs w:val="20"/>
          <w:lang w:val="de-DE"/>
        </w:rPr>
      </w:pPr>
      <w:r w:rsidRPr="006A1C6A">
        <w:rPr>
          <w:rFonts w:cs="Arial"/>
          <w:color w:val="auto"/>
          <w:szCs w:val="20"/>
          <w:lang w:val="de-DE"/>
        </w:rPr>
        <w:t xml:space="preserve">– 66 Prozent aus dieser Generation stimmen zu, dass personalisierte, proaktive Dienstleistungen ein wichtiges Merkmal sind, das ihre </w:t>
      </w:r>
      <w:r w:rsidR="0077345F" w:rsidRPr="006A1C6A">
        <w:rPr>
          <w:rFonts w:cs="Arial"/>
          <w:color w:val="auto"/>
          <w:szCs w:val="20"/>
          <w:lang w:val="de-DE"/>
        </w:rPr>
        <w:t xml:space="preserve">Hausbank </w:t>
      </w:r>
      <w:r w:rsidRPr="006A1C6A">
        <w:rPr>
          <w:rFonts w:cs="Arial"/>
          <w:color w:val="auto"/>
          <w:szCs w:val="20"/>
          <w:lang w:val="de-DE"/>
        </w:rPr>
        <w:t xml:space="preserve">anbieten sollte. </w:t>
      </w:r>
    </w:p>
    <w:p w14:paraId="4AA508D9" w14:textId="77777777" w:rsidR="00E9288E" w:rsidRPr="006A1C6A" w:rsidRDefault="00E9288E" w:rsidP="00E9288E">
      <w:pPr>
        <w:spacing w:after="0"/>
        <w:rPr>
          <w:rFonts w:cs="Arial"/>
          <w:b/>
          <w:bCs/>
          <w:color w:val="auto"/>
          <w:szCs w:val="20"/>
          <w:lang w:val="de-DE"/>
        </w:rPr>
      </w:pPr>
      <w:r w:rsidRPr="006A1C6A">
        <w:rPr>
          <w:rFonts w:cs="Arial"/>
          <w:b/>
          <w:bCs/>
          <w:color w:val="auto"/>
          <w:szCs w:val="20"/>
          <w:lang w:val="de-DE"/>
        </w:rPr>
        <w:t>Persönliche Daten im Austausch für personalisierte proaktive Dienste</w:t>
      </w:r>
    </w:p>
    <w:p w14:paraId="38513D88"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xml:space="preserve">61 Prozent der Verbraucherinnen und Verbraucher wären zu Zugeständnissen bei Privatsphäre und Sicherheit bereit, wenn sie dafür ein individuelles Ausgaben-Management und individuelle </w:t>
      </w:r>
      <w:r w:rsidRPr="006A1C6A">
        <w:rPr>
          <w:rFonts w:cs="Arial"/>
          <w:color w:val="auto"/>
          <w:szCs w:val="20"/>
          <w:lang w:val="de-DE"/>
        </w:rPr>
        <w:lastRenderedPageBreak/>
        <w:t xml:space="preserve">Online-Beratung zum Sparen erhalten. Unter anderem würden sie folgende Informationen teilen: </w:t>
      </w:r>
    </w:p>
    <w:p w14:paraId="1FB255F0"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xml:space="preserve">– </w:t>
      </w:r>
      <w:r w:rsidRPr="006A1C6A">
        <w:rPr>
          <w:rFonts w:cs="Arial"/>
          <w:b/>
          <w:bCs/>
          <w:color w:val="auto"/>
          <w:szCs w:val="20"/>
          <w:lang w:val="de-DE"/>
        </w:rPr>
        <w:t>Online-Einkäufe im Einzelhandel</w:t>
      </w:r>
      <w:r w:rsidRPr="006A1C6A">
        <w:rPr>
          <w:rFonts w:cs="Arial"/>
          <w:color w:val="auto"/>
          <w:szCs w:val="20"/>
          <w:lang w:val="de-DE"/>
        </w:rPr>
        <w:t xml:space="preserve"> (41 Prozent)</w:t>
      </w:r>
    </w:p>
    <w:p w14:paraId="17978F43"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xml:space="preserve">– </w:t>
      </w:r>
      <w:r w:rsidRPr="006A1C6A">
        <w:rPr>
          <w:rFonts w:cs="Arial"/>
          <w:b/>
          <w:bCs/>
          <w:color w:val="auto"/>
          <w:szCs w:val="20"/>
          <w:lang w:val="de-DE"/>
        </w:rPr>
        <w:t>Geografische Standortdaten</w:t>
      </w:r>
      <w:r w:rsidRPr="006A1C6A">
        <w:rPr>
          <w:rFonts w:cs="Arial"/>
          <w:color w:val="auto"/>
          <w:szCs w:val="20"/>
          <w:lang w:val="de-DE"/>
        </w:rPr>
        <w:t xml:space="preserve"> (37 Prozent)</w:t>
      </w:r>
    </w:p>
    <w:p w14:paraId="2C5FC439"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xml:space="preserve">– </w:t>
      </w:r>
      <w:r w:rsidRPr="006A1C6A">
        <w:rPr>
          <w:rFonts w:cs="Arial"/>
          <w:b/>
          <w:bCs/>
          <w:color w:val="auto"/>
          <w:szCs w:val="20"/>
          <w:lang w:val="de-DE"/>
        </w:rPr>
        <w:t>Daten aus</w:t>
      </w:r>
      <w:r w:rsidRPr="006A1C6A">
        <w:rPr>
          <w:rFonts w:cs="Arial"/>
          <w:color w:val="auto"/>
          <w:szCs w:val="20"/>
          <w:lang w:val="de-DE"/>
        </w:rPr>
        <w:t xml:space="preserve"> </w:t>
      </w:r>
      <w:r w:rsidRPr="006A1C6A">
        <w:rPr>
          <w:rFonts w:cs="Arial"/>
          <w:b/>
          <w:bCs/>
          <w:color w:val="auto"/>
          <w:szCs w:val="20"/>
          <w:lang w:val="de-DE"/>
        </w:rPr>
        <w:t>Vielfliegerprogrammen</w:t>
      </w:r>
      <w:r w:rsidRPr="006A1C6A">
        <w:rPr>
          <w:rFonts w:cs="Arial"/>
          <w:color w:val="auto"/>
          <w:szCs w:val="20"/>
          <w:lang w:val="de-DE"/>
        </w:rPr>
        <w:t xml:space="preserve"> (36 Prozent)</w:t>
      </w:r>
    </w:p>
    <w:p w14:paraId="70F79219" w14:textId="77777777" w:rsidR="00E9288E" w:rsidRPr="006A1C6A" w:rsidRDefault="00E9288E" w:rsidP="00E9288E">
      <w:pPr>
        <w:spacing w:after="0"/>
        <w:rPr>
          <w:rFonts w:cs="Arial"/>
          <w:color w:val="auto"/>
          <w:szCs w:val="20"/>
          <w:lang w:val="de-DE"/>
        </w:rPr>
      </w:pPr>
      <w:r w:rsidRPr="006A1C6A">
        <w:rPr>
          <w:rFonts w:cs="Arial"/>
          <w:color w:val="auto"/>
          <w:szCs w:val="20"/>
          <w:lang w:val="de-DE"/>
        </w:rPr>
        <w:t xml:space="preserve">– </w:t>
      </w:r>
      <w:r w:rsidRPr="006A1C6A">
        <w:rPr>
          <w:rFonts w:cs="Arial"/>
          <w:b/>
          <w:bCs/>
          <w:color w:val="auto"/>
          <w:szCs w:val="20"/>
          <w:lang w:val="de-DE"/>
        </w:rPr>
        <w:t>Kreditkarteninformationen</w:t>
      </w:r>
      <w:r w:rsidRPr="006A1C6A">
        <w:rPr>
          <w:rFonts w:cs="Arial"/>
          <w:color w:val="auto"/>
          <w:szCs w:val="20"/>
          <w:lang w:val="de-DE"/>
        </w:rPr>
        <w:t xml:space="preserve"> (36 Prozent)</w:t>
      </w:r>
    </w:p>
    <w:p w14:paraId="64ACCFA7" w14:textId="77777777" w:rsidR="00E9288E" w:rsidRPr="006A1C6A" w:rsidRDefault="00E9288E" w:rsidP="00E9288E">
      <w:pPr>
        <w:spacing w:after="0"/>
        <w:rPr>
          <w:rFonts w:cs="Arial"/>
          <w:color w:val="auto"/>
          <w:szCs w:val="20"/>
          <w:lang w:val="de-DE"/>
        </w:rPr>
      </w:pPr>
    </w:p>
    <w:p w14:paraId="1979D289" w14:textId="0DB5B8BE" w:rsidR="006E14B5" w:rsidRPr="006E14B5" w:rsidRDefault="00E9288E" w:rsidP="006E14B5">
      <w:pPr>
        <w:widowControl w:val="0"/>
        <w:autoSpaceDE w:val="0"/>
        <w:autoSpaceDN w:val="0"/>
        <w:adjustRightInd w:val="0"/>
        <w:textAlignment w:val="center"/>
        <w:rPr>
          <w:rFonts w:cs="Arial"/>
          <w:b/>
          <w:bCs/>
          <w:lang w:val="en-GB"/>
        </w:rPr>
      </w:pPr>
      <w:r w:rsidRPr="006E14B5">
        <w:rPr>
          <w:rFonts w:cs="Arial"/>
          <w:color w:val="auto"/>
          <w:szCs w:val="20"/>
          <w:lang w:val="en-GB"/>
        </w:rPr>
        <w:t xml:space="preserve">Die </w:t>
      </w:r>
      <w:proofErr w:type="spellStart"/>
      <w:r w:rsidRPr="006E14B5">
        <w:rPr>
          <w:rFonts w:cs="Arial"/>
          <w:color w:val="auto"/>
          <w:szCs w:val="20"/>
          <w:lang w:val="en-GB"/>
        </w:rPr>
        <w:t>Studie</w:t>
      </w:r>
      <w:proofErr w:type="spellEnd"/>
      <w:r w:rsidRPr="006E14B5">
        <w:rPr>
          <w:rFonts w:cs="Arial"/>
          <w:color w:val="auto"/>
          <w:szCs w:val="20"/>
          <w:lang w:val="en-GB"/>
        </w:rPr>
        <w:t xml:space="preserve"> “Get Personal: Banking on AI to Attract and Retain Customers” </w:t>
      </w:r>
      <w:proofErr w:type="spellStart"/>
      <w:proofErr w:type="gramStart"/>
      <w:r w:rsidRPr="006E14B5">
        <w:rPr>
          <w:rFonts w:cs="Arial"/>
          <w:color w:val="auto"/>
          <w:szCs w:val="20"/>
          <w:lang w:val="en-GB"/>
        </w:rPr>
        <w:t>ist</w:t>
      </w:r>
      <w:proofErr w:type="spellEnd"/>
      <w:proofErr w:type="gramEnd"/>
      <w:r w:rsidRPr="006E14B5">
        <w:rPr>
          <w:rFonts w:cs="Arial"/>
          <w:color w:val="auto"/>
          <w:szCs w:val="20"/>
          <w:lang w:val="en-GB"/>
        </w:rPr>
        <w:t xml:space="preserve"> </w:t>
      </w:r>
      <w:proofErr w:type="spellStart"/>
      <w:r w:rsidRPr="006E14B5">
        <w:rPr>
          <w:rFonts w:cs="Arial"/>
          <w:color w:val="auto"/>
          <w:szCs w:val="20"/>
          <w:lang w:val="en-GB"/>
        </w:rPr>
        <w:t>hier</w:t>
      </w:r>
      <w:proofErr w:type="spellEnd"/>
      <w:r w:rsidRPr="006E14B5">
        <w:rPr>
          <w:rFonts w:cs="Arial"/>
          <w:color w:val="auto"/>
          <w:szCs w:val="20"/>
          <w:lang w:val="en-GB"/>
        </w:rPr>
        <w:t xml:space="preserve"> </w:t>
      </w:r>
      <w:proofErr w:type="spellStart"/>
      <w:r w:rsidRPr="006E14B5">
        <w:rPr>
          <w:rFonts w:cs="Arial"/>
          <w:color w:val="auto"/>
          <w:szCs w:val="20"/>
          <w:lang w:val="en-GB"/>
        </w:rPr>
        <w:t>erhältlich</w:t>
      </w:r>
      <w:proofErr w:type="spellEnd"/>
      <w:r w:rsidRPr="006E14B5">
        <w:rPr>
          <w:rFonts w:cs="Arial"/>
          <w:color w:val="auto"/>
          <w:szCs w:val="20"/>
          <w:lang w:val="en-GB"/>
        </w:rPr>
        <w:t xml:space="preserve">: </w:t>
      </w:r>
      <w:hyperlink r:id="rId8" w:tgtFrame="_blank" w:history="1">
        <w:r w:rsidR="00782C20">
          <w:rPr>
            <w:rStyle w:val="Hyperlink"/>
          </w:rPr>
          <w:t>https://get.nttdata.com/Bankin</w:t>
        </w:r>
        <w:bookmarkStart w:id="0" w:name="_GoBack"/>
        <w:bookmarkEnd w:id="0"/>
        <w:r w:rsidR="00782C20">
          <w:rPr>
            <w:rStyle w:val="Hyperlink"/>
          </w:rPr>
          <w:t>g_Studie</w:t>
        </w:r>
      </w:hyperlink>
    </w:p>
    <w:p w14:paraId="403FA91F" w14:textId="76CF154D" w:rsidR="009C5EDC" w:rsidRPr="006A1C6A" w:rsidRDefault="009C5EDC" w:rsidP="009C5EDC">
      <w:pPr>
        <w:pStyle w:val="StandardWeb"/>
        <w:ind w:right="-1"/>
        <w:jc w:val="both"/>
        <w:rPr>
          <w:rFonts w:ascii="Arial" w:eastAsiaTheme="minorHAnsi" w:hAnsi="Arial" w:cs="Arial"/>
          <w:b/>
          <w:bCs/>
          <w:sz w:val="20"/>
          <w:szCs w:val="22"/>
          <w:lang w:val="de-DE" w:eastAsia="en-US"/>
        </w:rPr>
      </w:pPr>
      <w:r w:rsidRPr="006A1C6A">
        <w:rPr>
          <w:rFonts w:ascii="Arial" w:eastAsiaTheme="minorHAnsi" w:hAnsi="Arial" w:cs="Arial"/>
          <w:b/>
          <w:bCs/>
          <w:sz w:val="20"/>
          <w:szCs w:val="22"/>
          <w:lang w:val="de-DE" w:eastAsia="en-US"/>
        </w:rPr>
        <w:t>Über NTT DATA</w:t>
      </w:r>
    </w:p>
    <w:p w14:paraId="6547F050" w14:textId="77777777" w:rsidR="009C5EDC" w:rsidRPr="006A1C6A" w:rsidRDefault="009C5EDC" w:rsidP="009C5EDC">
      <w:pPr>
        <w:pStyle w:val="StandardWeb"/>
        <w:ind w:right="-1"/>
        <w:jc w:val="both"/>
        <w:rPr>
          <w:rFonts w:ascii="Arial" w:eastAsiaTheme="minorHAnsi" w:hAnsi="Arial" w:cs="Arial"/>
          <w:sz w:val="20"/>
          <w:szCs w:val="22"/>
          <w:lang w:val="de-DE" w:eastAsia="en-US"/>
        </w:rPr>
      </w:pPr>
      <w:r w:rsidRPr="006A1C6A">
        <w:rPr>
          <w:rFonts w:ascii="Arial" w:eastAsiaTheme="minorHAnsi" w:hAnsi="Arial" w:cs="Arial"/>
          <w:sz w:val="20"/>
          <w:szCs w:val="22"/>
          <w:lang w:val="de-DE" w:eastAsia="en-US"/>
        </w:rPr>
        <w:t xml:space="preserve">NTT DATA – ein Teil der NTT Group – ist </w:t>
      </w:r>
      <w:proofErr w:type="spellStart"/>
      <w:r w:rsidRPr="006A1C6A">
        <w:rPr>
          <w:rFonts w:ascii="Arial" w:eastAsiaTheme="minorHAnsi" w:hAnsi="Arial" w:cs="Arial"/>
          <w:sz w:val="20"/>
          <w:szCs w:val="22"/>
          <w:lang w:val="de-DE" w:eastAsia="en-US"/>
        </w:rPr>
        <w:t>Trusted</w:t>
      </w:r>
      <w:proofErr w:type="spellEnd"/>
      <w:r w:rsidRPr="006A1C6A">
        <w:rPr>
          <w:rFonts w:ascii="Arial" w:eastAsiaTheme="minorHAnsi" w:hAnsi="Arial" w:cs="Arial"/>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6A1C6A">
        <w:rPr>
          <w:rFonts w:ascii="Arial" w:eastAsiaTheme="minorHAnsi" w:hAnsi="Arial" w:cs="Arial"/>
          <w:sz w:val="20"/>
          <w:szCs w:val="22"/>
          <w:lang w:val="de-DE" w:eastAsia="en-US"/>
        </w:rPr>
        <w:t>Process</w:t>
      </w:r>
      <w:proofErr w:type="spellEnd"/>
      <w:r w:rsidRPr="006A1C6A">
        <w:rPr>
          <w:rFonts w:ascii="Arial" w:eastAsiaTheme="minorHAnsi" w:hAnsi="Arial" w:cs="Arial"/>
          <w:sz w:val="20"/>
          <w:szCs w:val="22"/>
          <w:lang w:val="de-DE" w:eastAsia="en-US"/>
        </w:rPr>
        <w:t xml:space="preserve"> Services, IT-Modernisierung und </w:t>
      </w:r>
      <w:proofErr w:type="spellStart"/>
      <w:r w:rsidRPr="006A1C6A">
        <w:rPr>
          <w:rFonts w:ascii="Arial" w:eastAsiaTheme="minorHAnsi" w:hAnsi="Arial" w:cs="Arial"/>
          <w:sz w:val="20"/>
          <w:szCs w:val="22"/>
          <w:lang w:val="de-DE" w:eastAsia="en-US"/>
        </w:rPr>
        <w:t>Managed</w:t>
      </w:r>
      <w:proofErr w:type="spellEnd"/>
      <w:r w:rsidRPr="006A1C6A">
        <w:rPr>
          <w:rFonts w:ascii="Arial" w:eastAsiaTheme="minorHAnsi" w:hAnsi="Arial" w:cs="Arial"/>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für </w:t>
      </w:r>
    </w:p>
    <w:p w14:paraId="13DB160A" w14:textId="77777777" w:rsidR="009C5EDC" w:rsidRPr="006A1C6A" w:rsidRDefault="009C5EDC" w:rsidP="009C5EDC">
      <w:pPr>
        <w:pStyle w:val="StandardWeb"/>
        <w:ind w:right="-1"/>
        <w:rPr>
          <w:rFonts w:ascii="Arial" w:eastAsiaTheme="minorHAnsi" w:hAnsi="Arial" w:cs="Arial"/>
          <w:sz w:val="20"/>
          <w:szCs w:val="22"/>
          <w:lang w:val="de-DE" w:eastAsia="en-US"/>
        </w:rPr>
      </w:pPr>
      <w:r w:rsidRPr="006A1C6A">
        <w:rPr>
          <w:rFonts w:ascii="Arial" w:eastAsiaTheme="minorHAnsi" w:hAnsi="Arial" w:cs="Arial"/>
          <w:sz w:val="20"/>
          <w:szCs w:val="22"/>
          <w:lang w:val="de-DE" w:eastAsia="en-US"/>
        </w:rPr>
        <w:t>Deutschland: de.nttdata.com</w:t>
      </w:r>
      <w:r w:rsidRPr="006A1C6A">
        <w:rPr>
          <w:rFonts w:ascii="Arial" w:eastAsiaTheme="minorHAnsi" w:hAnsi="Arial" w:cs="Arial"/>
          <w:sz w:val="20"/>
          <w:szCs w:val="22"/>
          <w:lang w:val="de-DE" w:eastAsia="en-US"/>
        </w:rPr>
        <w:br/>
        <w:t>Österreich: at.nttdata.com</w:t>
      </w:r>
      <w:r w:rsidRPr="006A1C6A">
        <w:rPr>
          <w:rFonts w:ascii="Arial" w:eastAsiaTheme="minorHAnsi" w:hAnsi="Arial" w:cs="Arial"/>
          <w:sz w:val="20"/>
          <w:szCs w:val="22"/>
          <w:lang w:val="de-DE" w:eastAsia="en-US"/>
        </w:rPr>
        <w:br/>
        <w:t>Schweiz: ch.nttdata.com</w:t>
      </w:r>
    </w:p>
    <w:p w14:paraId="56E94377" w14:textId="77777777" w:rsidR="009C5EDC" w:rsidRPr="006A1C6A" w:rsidRDefault="009C5EDC" w:rsidP="009C5EDC">
      <w:pPr>
        <w:spacing w:before="0" w:after="200" w:line="276" w:lineRule="auto"/>
        <w:rPr>
          <w:rFonts w:cs="Arial"/>
          <w:b/>
          <w:color w:val="auto"/>
          <w:lang w:val="de-DE"/>
        </w:rPr>
      </w:pPr>
      <w:r w:rsidRPr="006A1C6A">
        <w:rPr>
          <w:rFonts w:cs="Arial"/>
          <w:b/>
          <w:color w:val="auto"/>
          <w:lang w:val="de-DE"/>
        </w:rPr>
        <w:t>Pressekontakt für Deutschland, Österreich und Schweiz:</w:t>
      </w:r>
    </w:p>
    <w:p w14:paraId="4DCE1129" w14:textId="77777777" w:rsidR="009C5EDC" w:rsidRPr="006A1C6A"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A1C6A">
        <w:rPr>
          <w:rFonts w:ascii="Arial" w:eastAsiaTheme="minorHAnsi" w:hAnsi="Arial" w:cs="Arial"/>
          <w:sz w:val="20"/>
          <w:szCs w:val="22"/>
          <w:lang w:val="en-US" w:eastAsia="en-US"/>
        </w:rPr>
        <w:t xml:space="preserve">NTT DATA </w:t>
      </w:r>
      <w:r w:rsidRPr="006A1C6A">
        <w:rPr>
          <w:rFonts w:ascii="Arial" w:eastAsiaTheme="minorHAnsi" w:hAnsi="Arial" w:cs="Arial"/>
          <w:sz w:val="20"/>
          <w:szCs w:val="20"/>
          <w:lang w:val="en-US" w:eastAsia="en-US"/>
        </w:rPr>
        <w:t>DACH</w:t>
      </w:r>
    </w:p>
    <w:p w14:paraId="75751F11" w14:textId="77777777" w:rsidR="009C5EDC" w:rsidRPr="006A1C6A"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A1C6A">
        <w:rPr>
          <w:rFonts w:ascii="Arial" w:eastAsiaTheme="minorHAnsi" w:hAnsi="Arial" w:cs="Arial"/>
          <w:sz w:val="20"/>
          <w:szCs w:val="20"/>
          <w:lang w:val="en-US" w:eastAsia="en-US"/>
        </w:rPr>
        <w:t>Katja Friedrich</w:t>
      </w:r>
    </w:p>
    <w:p w14:paraId="2935D2D4" w14:textId="77777777" w:rsidR="009C5EDC" w:rsidRPr="006A1C6A"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6A1C6A">
        <w:rPr>
          <w:rFonts w:ascii="Arial" w:eastAsiaTheme="minorHAnsi" w:hAnsi="Arial" w:cs="Arial"/>
          <w:sz w:val="20"/>
          <w:szCs w:val="20"/>
          <w:lang w:val="en-GB" w:eastAsia="en-US"/>
        </w:rPr>
        <w:t>VP, Head of Communications</w:t>
      </w:r>
    </w:p>
    <w:p w14:paraId="10E5C80A" w14:textId="77777777" w:rsidR="009C5EDC" w:rsidRPr="006A1C6A" w:rsidRDefault="009C5EDC" w:rsidP="009C5EDC">
      <w:pPr>
        <w:pStyle w:val="StandardWeb"/>
        <w:spacing w:before="0" w:beforeAutospacing="0" w:after="0" w:afterAutospacing="0"/>
        <w:ind w:right="1417"/>
        <w:rPr>
          <w:rFonts w:ascii="Arial" w:hAnsi="Arial" w:cs="Arial"/>
          <w:sz w:val="25"/>
          <w:szCs w:val="25"/>
          <w:lang w:val="de-DE"/>
        </w:rPr>
      </w:pPr>
      <w:r w:rsidRPr="006A1C6A">
        <w:rPr>
          <w:rFonts w:ascii="Arial" w:eastAsiaTheme="minorHAnsi" w:hAnsi="Arial" w:cs="Arial"/>
          <w:sz w:val="20"/>
          <w:szCs w:val="20"/>
          <w:lang w:val="de-DE" w:eastAsia="en-US"/>
        </w:rPr>
        <w:t>Tel.: +49 172-7395234</w:t>
      </w:r>
    </w:p>
    <w:p w14:paraId="5A37E3E0" w14:textId="13EC616B"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001A7618" w:rsidRPr="00D549C9">
          <w:rPr>
            <w:rStyle w:val="Hyperlink"/>
            <w:rFonts w:ascii="Arial" w:hAnsi="Arial" w:cs="Arial"/>
            <w:sz w:val="20"/>
            <w:szCs w:val="20"/>
            <w:lang w:val="de-DE"/>
          </w:rPr>
          <w:t>Katja.Friedrich@nttdata.com</w:t>
        </w:r>
      </w:hyperlink>
    </w:p>
    <w:sectPr w:rsidR="009C5EDC">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B460" w14:textId="77777777" w:rsidR="00AD4BEC" w:rsidRDefault="00AD4BEC">
      <w:pPr>
        <w:spacing w:before="0" w:after="0"/>
      </w:pPr>
      <w:r>
        <w:separator/>
      </w:r>
    </w:p>
  </w:endnote>
  <w:endnote w:type="continuationSeparator" w:id="0">
    <w:p w14:paraId="1789C5AC" w14:textId="77777777" w:rsidR="00AD4BEC" w:rsidRDefault="00AD4B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敉裯ԝ姐翷"/>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8EFD" w14:textId="77777777" w:rsidR="00AD4BEC" w:rsidRDefault="00AD4BEC">
      <w:pPr>
        <w:spacing w:before="0" w:after="0"/>
      </w:pPr>
      <w:r>
        <w:separator/>
      </w:r>
    </w:p>
  </w:footnote>
  <w:footnote w:type="continuationSeparator" w:id="0">
    <w:p w14:paraId="6C37DBCF" w14:textId="77777777" w:rsidR="00AD4BEC" w:rsidRDefault="00AD4B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5137FC16" w:rsidR="00D82B4D" w:rsidRDefault="00D96B03">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5137FC16" w:rsidR="00D82B4D" w:rsidRDefault="00D96B03">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40F278"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E97C8"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0D4C"/>
    <w:rsid w:val="00001902"/>
    <w:rsid w:val="00010377"/>
    <w:rsid w:val="00012291"/>
    <w:rsid w:val="00023B6A"/>
    <w:rsid w:val="00023D13"/>
    <w:rsid w:val="00036BA5"/>
    <w:rsid w:val="00043ACF"/>
    <w:rsid w:val="00053429"/>
    <w:rsid w:val="00054CEB"/>
    <w:rsid w:val="00057F28"/>
    <w:rsid w:val="00077F54"/>
    <w:rsid w:val="00085974"/>
    <w:rsid w:val="00087C9A"/>
    <w:rsid w:val="000B4710"/>
    <w:rsid w:val="000B7AF7"/>
    <w:rsid w:val="000C7838"/>
    <w:rsid w:val="000D1937"/>
    <w:rsid w:val="000E368C"/>
    <w:rsid w:val="000E3A6A"/>
    <w:rsid w:val="00102EC1"/>
    <w:rsid w:val="001075BB"/>
    <w:rsid w:val="00110B43"/>
    <w:rsid w:val="0012149D"/>
    <w:rsid w:val="00123D43"/>
    <w:rsid w:val="00126F7F"/>
    <w:rsid w:val="00127563"/>
    <w:rsid w:val="001365C6"/>
    <w:rsid w:val="0013777D"/>
    <w:rsid w:val="00137C9A"/>
    <w:rsid w:val="00142A09"/>
    <w:rsid w:val="00152FE9"/>
    <w:rsid w:val="00157081"/>
    <w:rsid w:val="0015763F"/>
    <w:rsid w:val="00161EBC"/>
    <w:rsid w:val="00163652"/>
    <w:rsid w:val="00165E04"/>
    <w:rsid w:val="001746D1"/>
    <w:rsid w:val="001752CC"/>
    <w:rsid w:val="00192059"/>
    <w:rsid w:val="001A53B1"/>
    <w:rsid w:val="001A7618"/>
    <w:rsid w:val="001B3FD5"/>
    <w:rsid w:val="001B52B4"/>
    <w:rsid w:val="001C2314"/>
    <w:rsid w:val="001C4B39"/>
    <w:rsid w:val="001C5A7E"/>
    <w:rsid w:val="001D73EF"/>
    <w:rsid w:val="001E0992"/>
    <w:rsid w:val="001E110E"/>
    <w:rsid w:val="001E164D"/>
    <w:rsid w:val="001E1E81"/>
    <w:rsid w:val="001E22A6"/>
    <w:rsid w:val="00200AF1"/>
    <w:rsid w:val="0021157A"/>
    <w:rsid w:val="00213D83"/>
    <w:rsid w:val="002147B0"/>
    <w:rsid w:val="00221C48"/>
    <w:rsid w:val="0022774F"/>
    <w:rsid w:val="00233C7B"/>
    <w:rsid w:val="00256415"/>
    <w:rsid w:val="00263904"/>
    <w:rsid w:val="00264AEF"/>
    <w:rsid w:val="00266CFF"/>
    <w:rsid w:val="00275B23"/>
    <w:rsid w:val="00275C07"/>
    <w:rsid w:val="00281A1E"/>
    <w:rsid w:val="00291BBA"/>
    <w:rsid w:val="0029767C"/>
    <w:rsid w:val="002A4738"/>
    <w:rsid w:val="002A476C"/>
    <w:rsid w:val="002A573C"/>
    <w:rsid w:val="002A6702"/>
    <w:rsid w:val="002B78A8"/>
    <w:rsid w:val="002C21E6"/>
    <w:rsid w:val="002C7461"/>
    <w:rsid w:val="002D79BA"/>
    <w:rsid w:val="002E10EF"/>
    <w:rsid w:val="002E356F"/>
    <w:rsid w:val="002E5C04"/>
    <w:rsid w:val="002E697B"/>
    <w:rsid w:val="002F1697"/>
    <w:rsid w:val="00301F40"/>
    <w:rsid w:val="00303F2D"/>
    <w:rsid w:val="00310A3F"/>
    <w:rsid w:val="00321528"/>
    <w:rsid w:val="00330AB0"/>
    <w:rsid w:val="00335D0C"/>
    <w:rsid w:val="0034076C"/>
    <w:rsid w:val="00354675"/>
    <w:rsid w:val="00357E72"/>
    <w:rsid w:val="0036180E"/>
    <w:rsid w:val="003627F1"/>
    <w:rsid w:val="003759E4"/>
    <w:rsid w:val="00382699"/>
    <w:rsid w:val="00387B85"/>
    <w:rsid w:val="00387C5E"/>
    <w:rsid w:val="00390060"/>
    <w:rsid w:val="0039503C"/>
    <w:rsid w:val="003A2F25"/>
    <w:rsid w:val="003B179C"/>
    <w:rsid w:val="003B4905"/>
    <w:rsid w:val="003C51E3"/>
    <w:rsid w:val="003E1F27"/>
    <w:rsid w:val="003F6287"/>
    <w:rsid w:val="004000A6"/>
    <w:rsid w:val="00404A23"/>
    <w:rsid w:val="00410A50"/>
    <w:rsid w:val="00431FD0"/>
    <w:rsid w:val="004400C9"/>
    <w:rsid w:val="00453E4C"/>
    <w:rsid w:val="004558F9"/>
    <w:rsid w:val="00455DA4"/>
    <w:rsid w:val="00462DC0"/>
    <w:rsid w:val="00474C26"/>
    <w:rsid w:val="00480B20"/>
    <w:rsid w:val="00482A87"/>
    <w:rsid w:val="00490712"/>
    <w:rsid w:val="004944B6"/>
    <w:rsid w:val="004A37D0"/>
    <w:rsid w:val="004B0018"/>
    <w:rsid w:val="004B1D50"/>
    <w:rsid w:val="004B5D15"/>
    <w:rsid w:val="004B69BE"/>
    <w:rsid w:val="004C1212"/>
    <w:rsid w:val="004D5BF1"/>
    <w:rsid w:val="004E6F85"/>
    <w:rsid w:val="00502274"/>
    <w:rsid w:val="00516A76"/>
    <w:rsid w:val="00516C60"/>
    <w:rsid w:val="00520C7B"/>
    <w:rsid w:val="00522CBF"/>
    <w:rsid w:val="00523A09"/>
    <w:rsid w:val="00532E29"/>
    <w:rsid w:val="005359CC"/>
    <w:rsid w:val="005400DE"/>
    <w:rsid w:val="00540F07"/>
    <w:rsid w:val="005446F6"/>
    <w:rsid w:val="005532CB"/>
    <w:rsid w:val="0055516E"/>
    <w:rsid w:val="00564CF2"/>
    <w:rsid w:val="005735F9"/>
    <w:rsid w:val="00575741"/>
    <w:rsid w:val="00595A77"/>
    <w:rsid w:val="005A11C3"/>
    <w:rsid w:val="005A690A"/>
    <w:rsid w:val="005B326D"/>
    <w:rsid w:val="005B4401"/>
    <w:rsid w:val="005B50B1"/>
    <w:rsid w:val="005B5491"/>
    <w:rsid w:val="005B5CA1"/>
    <w:rsid w:val="005D1FE1"/>
    <w:rsid w:val="00606AFC"/>
    <w:rsid w:val="00611AF3"/>
    <w:rsid w:val="00620324"/>
    <w:rsid w:val="00621452"/>
    <w:rsid w:val="00624956"/>
    <w:rsid w:val="00647122"/>
    <w:rsid w:val="006501E5"/>
    <w:rsid w:val="00663BBF"/>
    <w:rsid w:val="00664EC0"/>
    <w:rsid w:val="00666593"/>
    <w:rsid w:val="00671B91"/>
    <w:rsid w:val="00672837"/>
    <w:rsid w:val="00683171"/>
    <w:rsid w:val="00685C50"/>
    <w:rsid w:val="0068720C"/>
    <w:rsid w:val="006A1C6A"/>
    <w:rsid w:val="006A39D1"/>
    <w:rsid w:val="006A69FD"/>
    <w:rsid w:val="006A6C31"/>
    <w:rsid w:val="006B48C0"/>
    <w:rsid w:val="006B54A0"/>
    <w:rsid w:val="006D046A"/>
    <w:rsid w:val="006D0535"/>
    <w:rsid w:val="006D0CA7"/>
    <w:rsid w:val="006D5686"/>
    <w:rsid w:val="006E14B5"/>
    <w:rsid w:val="006E3109"/>
    <w:rsid w:val="006E4A61"/>
    <w:rsid w:val="006F040C"/>
    <w:rsid w:val="006F2673"/>
    <w:rsid w:val="006F74D6"/>
    <w:rsid w:val="0071033E"/>
    <w:rsid w:val="00710B82"/>
    <w:rsid w:val="007206DD"/>
    <w:rsid w:val="00725627"/>
    <w:rsid w:val="00725941"/>
    <w:rsid w:val="007278B8"/>
    <w:rsid w:val="00733FED"/>
    <w:rsid w:val="0073695D"/>
    <w:rsid w:val="00746128"/>
    <w:rsid w:val="00747772"/>
    <w:rsid w:val="00760456"/>
    <w:rsid w:val="00766FE7"/>
    <w:rsid w:val="0077345F"/>
    <w:rsid w:val="00774EBB"/>
    <w:rsid w:val="00776F77"/>
    <w:rsid w:val="00781127"/>
    <w:rsid w:val="00782740"/>
    <w:rsid w:val="00782C20"/>
    <w:rsid w:val="00785ECF"/>
    <w:rsid w:val="007970CC"/>
    <w:rsid w:val="007A2386"/>
    <w:rsid w:val="007A60FF"/>
    <w:rsid w:val="007C1582"/>
    <w:rsid w:val="007C198C"/>
    <w:rsid w:val="007C25C5"/>
    <w:rsid w:val="007D3473"/>
    <w:rsid w:val="007D4B69"/>
    <w:rsid w:val="007D4C16"/>
    <w:rsid w:val="007D6902"/>
    <w:rsid w:val="007D69C4"/>
    <w:rsid w:val="007E4004"/>
    <w:rsid w:val="007F245D"/>
    <w:rsid w:val="007F7015"/>
    <w:rsid w:val="007F7D14"/>
    <w:rsid w:val="00807122"/>
    <w:rsid w:val="00811D56"/>
    <w:rsid w:val="00813DB0"/>
    <w:rsid w:val="00817132"/>
    <w:rsid w:val="00833042"/>
    <w:rsid w:val="00842933"/>
    <w:rsid w:val="00844E40"/>
    <w:rsid w:val="008472C0"/>
    <w:rsid w:val="00863E33"/>
    <w:rsid w:val="0086422B"/>
    <w:rsid w:val="00873476"/>
    <w:rsid w:val="008758E4"/>
    <w:rsid w:val="00875ABA"/>
    <w:rsid w:val="00877B37"/>
    <w:rsid w:val="00892198"/>
    <w:rsid w:val="0089288A"/>
    <w:rsid w:val="00892CF6"/>
    <w:rsid w:val="0089356F"/>
    <w:rsid w:val="00895870"/>
    <w:rsid w:val="00897CF9"/>
    <w:rsid w:val="008A250C"/>
    <w:rsid w:val="008A6DCA"/>
    <w:rsid w:val="008B15FF"/>
    <w:rsid w:val="008B547F"/>
    <w:rsid w:val="008E0D40"/>
    <w:rsid w:val="008E6D87"/>
    <w:rsid w:val="008E7C39"/>
    <w:rsid w:val="008F3F0B"/>
    <w:rsid w:val="00903FDF"/>
    <w:rsid w:val="0091011D"/>
    <w:rsid w:val="009103BA"/>
    <w:rsid w:val="00911C1C"/>
    <w:rsid w:val="009123AE"/>
    <w:rsid w:val="00915605"/>
    <w:rsid w:val="00917358"/>
    <w:rsid w:val="00921C88"/>
    <w:rsid w:val="00934361"/>
    <w:rsid w:val="009432B3"/>
    <w:rsid w:val="0094625A"/>
    <w:rsid w:val="00947F14"/>
    <w:rsid w:val="0095279F"/>
    <w:rsid w:val="00962FE7"/>
    <w:rsid w:val="009658C2"/>
    <w:rsid w:val="00966ED1"/>
    <w:rsid w:val="00975883"/>
    <w:rsid w:val="00976FA1"/>
    <w:rsid w:val="00986BD0"/>
    <w:rsid w:val="00987358"/>
    <w:rsid w:val="00993530"/>
    <w:rsid w:val="009935BD"/>
    <w:rsid w:val="009A26AA"/>
    <w:rsid w:val="009A559E"/>
    <w:rsid w:val="009B0F2E"/>
    <w:rsid w:val="009B1C34"/>
    <w:rsid w:val="009C47E1"/>
    <w:rsid w:val="009C5EDC"/>
    <w:rsid w:val="009D00FF"/>
    <w:rsid w:val="009D3AD8"/>
    <w:rsid w:val="009E5A6C"/>
    <w:rsid w:val="009F686D"/>
    <w:rsid w:val="00A03968"/>
    <w:rsid w:val="00A0500B"/>
    <w:rsid w:val="00A10B64"/>
    <w:rsid w:val="00A146B7"/>
    <w:rsid w:val="00A1507E"/>
    <w:rsid w:val="00A24FA0"/>
    <w:rsid w:val="00A308BD"/>
    <w:rsid w:val="00A31E8E"/>
    <w:rsid w:val="00A34B4C"/>
    <w:rsid w:val="00A36798"/>
    <w:rsid w:val="00A3723A"/>
    <w:rsid w:val="00A372D2"/>
    <w:rsid w:val="00A4115E"/>
    <w:rsid w:val="00A446EB"/>
    <w:rsid w:val="00A474CA"/>
    <w:rsid w:val="00A53BEE"/>
    <w:rsid w:val="00A60A9A"/>
    <w:rsid w:val="00A6601A"/>
    <w:rsid w:val="00A6634D"/>
    <w:rsid w:val="00A66BD1"/>
    <w:rsid w:val="00A66DDA"/>
    <w:rsid w:val="00A6727D"/>
    <w:rsid w:val="00A81FE2"/>
    <w:rsid w:val="00A928F0"/>
    <w:rsid w:val="00AA6D63"/>
    <w:rsid w:val="00AB793C"/>
    <w:rsid w:val="00AD4BEC"/>
    <w:rsid w:val="00AE02C8"/>
    <w:rsid w:val="00AE3BDA"/>
    <w:rsid w:val="00AF0182"/>
    <w:rsid w:val="00AF2792"/>
    <w:rsid w:val="00AF33A0"/>
    <w:rsid w:val="00AF446C"/>
    <w:rsid w:val="00AF4FF5"/>
    <w:rsid w:val="00B00D0C"/>
    <w:rsid w:val="00B1161A"/>
    <w:rsid w:val="00B14FF6"/>
    <w:rsid w:val="00B21844"/>
    <w:rsid w:val="00B32227"/>
    <w:rsid w:val="00B34C11"/>
    <w:rsid w:val="00B36751"/>
    <w:rsid w:val="00B40CBB"/>
    <w:rsid w:val="00B42718"/>
    <w:rsid w:val="00B45E68"/>
    <w:rsid w:val="00B63920"/>
    <w:rsid w:val="00B65F5E"/>
    <w:rsid w:val="00B73245"/>
    <w:rsid w:val="00B73A68"/>
    <w:rsid w:val="00B754E4"/>
    <w:rsid w:val="00B76440"/>
    <w:rsid w:val="00B826F1"/>
    <w:rsid w:val="00B8543F"/>
    <w:rsid w:val="00B87FBB"/>
    <w:rsid w:val="00B915E3"/>
    <w:rsid w:val="00BA0842"/>
    <w:rsid w:val="00BA0D68"/>
    <w:rsid w:val="00BB0CCD"/>
    <w:rsid w:val="00BC71E2"/>
    <w:rsid w:val="00BD1631"/>
    <w:rsid w:val="00BD56DD"/>
    <w:rsid w:val="00BE00A7"/>
    <w:rsid w:val="00BE5CA1"/>
    <w:rsid w:val="00BF3B06"/>
    <w:rsid w:val="00C06C93"/>
    <w:rsid w:val="00C14E1C"/>
    <w:rsid w:val="00C1555B"/>
    <w:rsid w:val="00C23A77"/>
    <w:rsid w:val="00C24D8D"/>
    <w:rsid w:val="00C3642A"/>
    <w:rsid w:val="00C5077E"/>
    <w:rsid w:val="00C533EF"/>
    <w:rsid w:val="00C557FB"/>
    <w:rsid w:val="00C57E2F"/>
    <w:rsid w:val="00C607BB"/>
    <w:rsid w:val="00C61052"/>
    <w:rsid w:val="00C62847"/>
    <w:rsid w:val="00C67B6C"/>
    <w:rsid w:val="00C81D7E"/>
    <w:rsid w:val="00C823A1"/>
    <w:rsid w:val="00C86A30"/>
    <w:rsid w:val="00C86F6F"/>
    <w:rsid w:val="00C87F2F"/>
    <w:rsid w:val="00CB26E1"/>
    <w:rsid w:val="00CB35E2"/>
    <w:rsid w:val="00CB72EE"/>
    <w:rsid w:val="00CD08D9"/>
    <w:rsid w:val="00CD659C"/>
    <w:rsid w:val="00CF03C5"/>
    <w:rsid w:val="00CF2268"/>
    <w:rsid w:val="00CF5928"/>
    <w:rsid w:val="00CF60B6"/>
    <w:rsid w:val="00CF732C"/>
    <w:rsid w:val="00D0204A"/>
    <w:rsid w:val="00D07478"/>
    <w:rsid w:val="00D13622"/>
    <w:rsid w:val="00D151C6"/>
    <w:rsid w:val="00D154AB"/>
    <w:rsid w:val="00D16D5B"/>
    <w:rsid w:val="00D2732A"/>
    <w:rsid w:val="00D34E89"/>
    <w:rsid w:val="00D43A4C"/>
    <w:rsid w:val="00D51104"/>
    <w:rsid w:val="00D52BA2"/>
    <w:rsid w:val="00D54038"/>
    <w:rsid w:val="00D5794D"/>
    <w:rsid w:val="00D60856"/>
    <w:rsid w:val="00D727B2"/>
    <w:rsid w:val="00D72C6D"/>
    <w:rsid w:val="00D73A17"/>
    <w:rsid w:val="00D82B4D"/>
    <w:rsid w:val="00D86FDC"/>
    <w:rsid w:val="00D876E1"/>
    <w:rsid w:val="00D96B03"/>
    <w:rsid w:val="00D97297"/>
    <w:rsid w:val="00DA544B"/>
    <w:rsid w:val="00DB54AB"/>
    <w:rsid w:val="00DC104A"/>
    <w:rsid w:val="00DC1B8D"/>
    <w:rsid w:val="00DC3FB5"/>
    <w:rsid w:val="00DC7779"/>
    <w:rsid w:val="00DD6FD8"/>
    <w:rsid w:val="00DF2BEE"/>
    <w:rsid w:val="00DF3217"/>
    <w:rsid w:val="00DF3ED0"/>
    <w:rsid w:val="00DF7BB9"/>
    <w:rsid w:val="00E020E6"/>
    <w:rsid w:val="00E05266"/>
    <w:rsid w:val="00E103D6"/>
    <w:rsid w:val="00E23928"/>
    <w:rsid w:val="00E32FBD"/>
    <w:rsid w:val="00E34C92"/>
    <w:rsid w:val="00E36210"/>
    <w:rsid w:val="00E54EFC"/>
    <w:rsid w:val="00E61AD8"/>
    <w:rsid w:val="00E819EC"/>
    <w:rsid w:val="00E843DC"/>
    <w:rsid w:val="00E84C40"/>
    <w:rsid w:val="00E859EB"/>
    <w:rsid w:val="00E86126"/>
    <w:rsid w:val="00E9288E"/>
    <w:rsid w:val="00E92B5B"/>
    <w:rsid w:val="00E945F8"/>
    <w:rsid w:val="00EA31D4"/>
    <w:rsid w:val="00EB25E0"/>
    <w:rsid w:val="00EB44B8"/>
    <w:rsid w:val="00EB48D4"/>
    <w:rsid w:val="00EB79BF"/>
    <w:rsid w:val="00EC1C05"/>
    <w:rsid w:val="00ED5438"/>
    <w:rsid w:val="00EE02E1"/>
    <w:rsid w:val="00EF094E"/>
    <w:rsid w:val="00EF4329"/>
    <w:rsid w:val="00F02891"/>
    <w:rsid w:val="00F06C64"/>
    <w:rsid w:val="00F07289"/>
    <w:rsid w:val="00F1577A"/>
    <w:rsid w:val="00F15BC3"/>
    <w:rsid w:val="00F16556"/>
    <w:rsid w:val="00F21852"/>
    <w:rsid w:val="00F27C2F"/>
    <w:rsid w:val="00F31AD1"/>
    <w:rsid w:val="00F332AE"/>
    <w:rsid w:val="00F354A9"/>
    <w:rsid w:val="00F52969"/>
    <w:rsid w:val="00F52A09"/>
    <w:rsid w:val="00F53104"/>
    <w:rsid w:val="00F659EF"/>
    <w:rsid w:val="00F67387"/>
    <w:rsid w:val="00F75929"/>
    <w:rsid w:val="00F776EA"/>
    <w:rsid w:val="00F83FD9"/>
    <w:rsid w:val="00F91F74"/>
    <w:rsid w:val="00F92BA8"/>
    <w:rsid w:val="00F93D4F"/>
    <w:rsid w:val="00FE11C8"/>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 w:type="character" w:customStyle="1" w:styleId="UnresolvedMention">
    <w:name w:val="Unresolved Mention"/>
    <w:basedOn w:val="Absatz-Standardschriftart"/>
    <w:uiPriority w:val="99"/>
    <w:semiHidden/>
    <w:unhideWhenUsed/>
    <w:rsid w:val="006E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31966468">
      <w:bodyDiv w:val="1"/>
      <w:marLeft w:val="0"/>
      <w:marRight w:val="0"/>
      <w:marTop w:val="0"/>
      <w:marBottom w:val="0"/>
      <w:divBdr>
        <w:top w:val="none" w:sz="0" w:space="0" w:color="auto"/>
        <w:left w:val="none" w:sz="0" w:space="0" w:color="auto"/>
        <w:bottom w:val="none" w:sz="0" w:space="0" w:color="auto"/>
        <w:right w:val="none" w:sz="0" w:space="0" w:color="auto"/>
      </w:divBdr>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46912284">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nttdata.com/Banking_Stu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5B66-2A7E-49FF-A22B-1A31E309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2021-02-25T13:16:00Z</dcterms:created>
  <dcterms:modified xsi:type="dcterms:W3CDTF">2021-02-25T13:16:00Z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