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6B" w:rsidRDefault="00405987" w:rsidP="00405987">
      <w:pPr>
        <w:pStyle w:val="Default"/>
        <w:jc w:val="both"/>
        <w:rPr>
          <w:rStyle w:val="Fett"/>
          <w:rFonts w:ascii="Arial" w:eastAsia="Arial" w:hAnsi="Arial" w:cs="Arial"/>
          <w:color w:val="auto"/>
          <w:lang w:val="de-DE" w:eastAsia="de-DE"/>
        </w:rPr>
      </w:pPr>
      <w:bookmarkStart w:id="0" w:name="_GoBack"/>
      <w:bookmarkEnd w:id="0"/>
      <w:r w:rsidRPr="00405987">
        <w:rPr>
          <w:rStyle w:val="Fett"/>
          <w:rFonts w:ascii="Arial" w:eastAsia="Arial" w:hAnsi="Arial" w:cs="Arial"/>
          <w:color w:val="auto"/>
          <w:lang w:val="de-DE" w:eastAsia="de-DE"/>
        </w:rPr>
        <w:t>NTT DATA gibt Veröffentlichung des großen Updates von Version 7.1.1 des WinActor® RPA-Tools bekannt</w:t>
      </w:r>
      <w:r w:rsidR="005A1C6D">
        <w:rPr>
          <w:rStyle w:val="Fett"/>
          <w:rFonts w:ascii="Arial" w:eastAsia="Arial" w:hAnsi="Arial" w:cs="Arial"/>
          <w:color w:val="auto"/>
          <w:lang w:val="de-DE" w:eastAsia="de-DE"/>
        </w:rPr>
        <w:t xml:space="preserve"> - </w:t>
      </w:r>
      <w:r w:rsidRPr="00405987">
        <w:rPr>
          <w:rStyle w:val="Fett"/>
          <w:rFonts w:ascii="Arial" w:eastAsia="Arial" w:hAnsi="Arial" w:cs="Arial"/>
          <w:color w:val="auto"/>
          <w:lang w:val="de-DE" w:eastAsia="de-DE"/>
        </w:rPr>
        <w:t>Erhältlich bei 39 Vertriebspartnern in 76 Ländern</w:t>
      </w:r>
    </w:p>
    <w:p w:rsidR="00405987" w:rsidRPr="001E23F1" w:rsidRDefault="00405987" w:rsidP="00405987">
      <w:pPr>
        <w:pStyle w:val="Default"/>
        <w:jc w:val="both"/>
        <w:rPr>
          <w:rFonts w:ascii="Arial" w:hAnsi="Arial" w:cs="Arial"/>
          <w:b/>
          <w:sz w:val="20"/>
          <w:lang w:val="de-DE"/>
        </w:rPr>
      </w:pPr>
    </w:p>
    <w:p w:rsidR="00405987" w:rsidRPr="00405987" w:rsidRDefault="004730BE" w:rsidP="00405987">
      <w:pPr>
        <w:pStyle w:val="Default"/>
        <w:jc w:val="both"/>
        <w:rPr>
          <w:rFonts w:ascii="Arial" w:hAnsi="Arial" w:cs="Arial"/>
          <w:sz w:val="20"/>
          <w:lang w:val="de-DE"/>
        </w:rPr>
      </w:pPr>
      <w:r w:rsidRPr="00405987">
        <w:rPr>
          <w:rFonts w:ascii="Arial" w:hAnsi="Arial" w:cs="Arial"/>
          <w:b/>
          <w:sz w:val="20"/>
          <w:lang w:val="de-DE"/>
        </w:rPr>
        <w:t xml:space="preserve">München, </w:t>
      </w:r>
      <w:r w:rsidR="00ED1680">
        <w:rPr>
          <w:rFonts w:ascii="Arial" w:hAnsi="Arial" w:cs="Arial"/>
          <w:b/>
          <w:sz w:val="20"/>
          <w:lang w:val="de-DE"/>
        </w:rPr>
        <w:t>29</w:t>
      </w:r>
      <w:r w:rsidRPr="00405987">
        <w:rPr>
          <w:rFonts w:ascii="Arial" w:hAnsi="Arial" w:cs="Arial"/>
          <w:b/>
          <w:sz w:val="20"/>
          <w:lang w:val="de-DE"/>
        </w:rPr>
        <w:t xml:space="preserve">. </w:t>
      </w:r>
      <w:r w:rsidR="00405987" w:rsidRPr="00405987">
        <w:rPr>
          <w:rFonts w:ascii="Arial" w:hAnsi="Arial" w:cs="Arial"/>
          <w:b/>
          <w:sz w:val="20"/>
          <w:lang w:val="de-DE"/>
        </w:rPr>
        <w:t>Oktober 2020</w:t>
      </w:r>
      <w:r w:rsidRPr="00405987">
        <w:rPr>
          <w:rFonts w:ascii="Arial" w:hAnsi="Arial" w:cs="Arial"/>
          <w:sz w:val="20"/>
          <w:lang w:val="de-DE"/>
        </w:rPr>
        <w:t xml:space="preserve"> – </w:t>
      </w:r>
      <w:r w:rsidR="00405987" w:rsidRPr="00405987">
        <w:rPr>
          <w:rFonts w:ascii="Arial" w:hAnsi="Arial" w:cs="Arial"/>
          <w:sz w:val="20"/>
          <w:lang w:val="de-DE"/>
        </w:rPr>
        <w:t>NTT DATA Corporation</w:t>
      </w:r>
      <w:r w:rsidR="005A1C6D">
        <w:rPr>
          <w:rFonts w:ascii="Arial" w:hAnsi="Arial" w:cs="Arial"/>
          <w:sz w:val="20"/>
          <w:lang w:val="de-DE"/>
        </w:rPr>
        <w:t>, führender Anbieter von Business- und IT-Lösungen,</w:t>
      </w:r>
      <w:r w:rsidR="00405987" w:rsidRPr="00405987">
        <w:rPr>
          <w:rFonts w:ascii="Arial" w:hAnsi="Arial" w:cs="Arial"/>
          <w:sz w:val="20"/>
          <w:lang w:val="de-DE"/>
        </w:rPr>
        <w:t xml:space="preserve"> hat am 15. Oktober 2020 die Veröffentlichung des großen Updates von Version 7.1.1 ihrer RPA-Lösung WinActor bekanntgegeben. </w:t>
      </w:r>
    </w:p>
    <w:p w:rsidR="00405987" w:rsidRPr="00405987" w:rsidRDefault="00405987" w:rsidP="00405987">
      <w:pPr>
        <w:pStyle w:val="Default"/>
        <w:jc w:val="both"/>
        <w:rPr>
          <w:rFonts w:ascii="Arial" w:hAnsi="Arial" w:cs="Arial"/>
          <w:sz w:val="20"/>
          <w:lang w:val="de-DE"/>
        </w:rPr>
      </w:pPr>
    </w:p>
    <w:p w:rsidR="00995D6B" w:rsidRPr="00405987" w:rsidRDefault="00405987" w:rsidP="00405987">
      <w:pPr>
        <w:pStyle w:val="Default"/>
        <w:jc w:val="both"/>
        <w:rPr>
          <w:rFonts w:ascii="Arial" w:hAnsi="Arial" w:cs="Arial"/>
          <w:sz w:val="20"/>
          <w:lang w:val="de-DE"/>
        </w:rPr>
      </w:pPr>
      <w:r w:rsidRPr="00405987">
        <w:rPr>
          <w:rFonts w:ascii="Arial" w:hAnsi="Arial" w:cs="Arial"/>
          <w:sz w:val="20"/>
          <w:lang w:val="de-DE"/>
        </w:rPr>
        <w:t>Der internationale Vertrieb startet in 76 Ländern über die 39 Vertriebspartner von NTT DATA. WinActor hält bereits den größten Markta</w:t>
      </w:r>
      <w:r w:rsidR="005A1C6D">
        <w:rPr>
          <w:rFonts w:ascii="Arial" w:hAnsi="Arial" w:cs="Arial"/>
          <w:sz w:val="20"/>
          <w:lang w:val="de-DE"/>
        </w:rPr>
        <w:t>nteil für RPA-Lösungen in Japan, seit 2016 expandiert NTT DATA zudem weltweit</w:t>
      </w:r>
      <w:r w:rsidRPr="00405987">
        <w:rPr>
          <w:rFonts w:ascii="Arial" w:hAnsi="Arial" w:cs="Arial"/>
          <w:sz w:val="20"/>
          <w:lang w:val="de-DE"/>
        </w:rPr>
        <w:t>, um die Servicequalität durch Zusammenarbeit mit Vertriebspartnern in jedem Land zu verbessern.</w:t>
      </w:r>
    </w:p>
    <w:p w:rsidR="00405987" w:rsidRDefault="00405987" w:rsidP="00405987">
      <w:pPr>
        <w:pStyle w:val="Default"/>
        <w:jc w:val="both"/>
        <w:rPr>
          <w:rFonts w:ascii="Arial" w:hAnsi="Arial" w:cs="Arial"/>
          <w:sz w:val="20"/>
          <w:lang w:val="de-DE"/>
        </w:rPr>
      </w:pPr>
    </w:p>
    <w:p w:rsidR="00405987" w:rsidRDefault="00405987" w:rsidP="00405987">
      <w:pPr>
        <w:pStyle w:val="Default"/>
        <w:jc w:val="both"/>
        <w:rPr>
          <w:rFonts w:ascii="Arial" w:hAnsi="Arial" w:cs="Arial"/>
          <w:sz w:val="20"/>
          <w:lang w:val="de-DE"/>
        </w:rPr>
      </w:pPr>
      <w:r>
        <w:rPr>
          <w:rFonts w:ascii="Arial" w:hAnsi="Arial" w:cs="Arial"/>
          <w:sz w:val="20"/>
          <w:lang w:val="de-DE"/>
        </w:rPr>
        <w:t xml:space="preserve">„Ich freue mich sehr, </w:t>
      </w:r>
      <w:r w:rsidR="001E23F1">
        <w:rPr>
          <w:rFonts w:ascii="Arial" w:hAnsi="Arial" w:cs="Arial"/>
          <w:sz w:val="20"/>
          <w:lang w:val="de-DE"/>
        </w:rPr>
        <w:t>den</w:t>
      </w:r>
      <w:r w:rsidRPr="00405987">
        <w:rPr>
          <w:rFonts w:ascii="Arial" w:hAnsi="Arial" w:cs="Arial"/>
          <w:sz w:val="20"/>
          <w:lang w:val="de-DE"/>
        </w:rPr>
        <w:t xml:space="preserve"> Verkauf von WinActor Ver</w:t>
      </w:r>
      <w:r w:rsidR="00ED1680">
        <w:rPr>
          <w:rFonts w:ascii="Arial" w:hAnsi="Arial" w:cs="Arial"/>
          <w:sz w:val="20"/>
          <w:lang w:val="de-DE"/>
        </w:rPr>
        <w:t>.</w:t>
      </w:r>
      <w:r w:rsidRPr="00405987">
        <w:rPr>
          <w:rFonts w:ascii="Arial" w:hAnsi="Arial" w:cs="Arial"/>
          <w:sz w:val="20"/>
          <w:lang w:val="de-DE"/>
        </w:rPr>
        <w:t>7 mit unseren Vertriebspartnern auf der ganzen Welt starten zu können. Wir haben uns viele Gedanken gemacht, wie wir WA auf globaler Ebene ausrollen können, und nun ist es soweit“, sagte Takuya Nakagawa, Business Leader von WinActor, NTTDATA Corporation.</w:t>
      </w:r>
      <w:r w:rsidR="005502C4">
        <w:rPr>
          <w:rFonts w:ascii="Arial" w:hAnsi="Arial" w:cs="Arial"/>
          <w:sz w:val="20"/>
          <w:lang w:val="de-DE"/>
        </w:rPr>
        <w:t xml:space="preserve"> </w:t>
      </w:r>
      <w:r w:rsidRPr="00405987">
        <w:rPr>
          <w:rFonts w:ascii="Arial" w:hAnsi="Arial" w:cs="Arial"/>
          <w:sz w:val="20"/>
          <w:lang w:val="de-DE"/>
        </w:rPr>
        <w:t xml:space="preserve">„WinActor, das sich durch einfache Bedienung auszeichnet, wird eine </w:t>
      </w:r>
      <w:r w:rsidR="00510679" w:rsidRPr="00510679">
        <w:rPr>
          <w:rFonts w:ascii="Arial" w:hAnsi="Arial" w:cs="Arial"/>
          <w:sz w:val="20"/>
          <w:lang w:val="de-DE"/>
        </w:rPr>
        <w:t>Verbesserung</w:t>
      </w:r>
      <w:r w:rsidRPr="00510679">
        <w:rPr>
          <w:rFonts w:ascii="Arial" w:hAnsi="Arial" w:cs="Arial"/>
          <w:sz w:val="20"/>
          <w:lang w:val="de-DE"/>
        </w:rPr>
        <w:t xml:space="preserve"> der digitalen Transformation nicht nur für</w:t>
      </w:r>
      <w:r w:rsidRPr="00405987">
        <w:rPr>
          <w:rFonts w:ascii="Arial" w:hAnsi="Arial" w:cs="Arial"/>
          <w:sz w:val="20"/>
          <w:lang w:val="de-DE"/>
        </w:rPr>
        <w:t xml:space="preserve"> die Niederlassungen japanischer Unternehmen im Ausland, sondern auch für Unternehmen auf der ganzen Welt herbeiführen.“</w:t>
      </w:r>
    </w:p>
    <w:p w:rsidR="006E6137" w:rsidRDefault="006E6137" w:rsidP="00405987">
      <w:pPr>
        <w:pStyle w:val="Default"/>
        <w:jc w:val="both"/>
        <w:rPr>
          <w:rFonts w:ascii="Arial" w:hAnsi="Arial" w:cs="Arial"/>
          <w:sz w:val="20"/>
          <w:lang w:val="de-DE"/>
        </w:rPr>
      </w:pPr>
    </w:p>
    <w:p w:rsidR="006E6137" w:rsidRDefault="006E6137" w:rsidP="00405987">
      <w:pPr>
        <w:pStyle w:val="Default"/>
        <w:jc w:val="both"/>
        <w:rPr>
          <w:rFonts w:ascii="Arial" w:hAnsi="Arial" w:cs="Arial"/>
          <w:sz w:val="20"/>
          <w:lang w:val="de-DE"/>
        </w:rPr>
      </w:pPr>
      <w:r>
        <w:rPr>
          <w:rFonts w:ascii="Arial" w:hAnsi="Arial" w:cs="Arial"/>
          <w:sz w:val="20"/>
          <w:lang w:val="de-DE"/>
        </w:rPr>
        <w:t>In Deutschland ist WinActor Ver</w:t>
      </w:r>
      <w:r w:rsidR="00ED1680">
        <w:rPr>
          <w:rFonts w:ascii="Arial" w:hAnsi="Arial" w:cs="Arial"/>
          <w:sz w:val="20"/>
          <w:lang w:val="de-DE"/>
        </w:rPr>
        <w:t>.</w:t>
      </w:r>
      <w:r>
        <w:rPr>
          <w:rFonts w:ascii="Arial" w:hAnsi="Arial" w:cs="Arial"/>
          <w:sz w:val="20"/>
          <w:lang w:val="de-DE"/>
        </w:rPr>
        <w:t xml:space="preserve">7 über NTT DATA DACH erhältlich. </w:t>
      </w:r>
    </w:p>
    <w:p w:rsidR="005502C4" w:rsidRDefault="005502C4" w:rsidP="00405987">
      <w:pPr>
        <w:pStyle w:val="Default"/>
        <w:jc w:val="both"/>
        <w:rPr>
          <w:rFonts w:ascii="Arial" w:hAnsi="Arial" w:cs="Arial"/>
          <w:sz w:val="20"/>
          <w:lang w:val="de-DE"/>
        </w:rPr>
      </w:pPr>
    </w:p>
    <w:p w:rsidR="00405987" w:rsidRDefault="00405987" w:rsidP="00405987">
      <w:pPr>
        <w:pStyle w:val="Default"/>
        <w:jc w:val="both"/>
        <w:rPr>
          <w:rFonts w:ascii="Arial" w:hAnsi="Arial" w:cs="Arial"/>
          <w:sz w:val="20"/>
          <w:lang w:val="de-DE"/>
        </w:rPr>
      </w:pPr>
    </w:p>
    <w:p w:rsidR="00405987" w:rsidRDefault="00405987" w:rsidP="00405987">
      <w:pPr>
        <w:pStyle w:val="Default"/>
        <w:jc w:val="both"/>
        <w:rPr>
          <w:rFonts w:ascii="Arial" w:hAnsi="Arial" w:cs="Arial"/>
          <w:b/>
          <w:sz w:val="20"/>
          <w:lang w:val="de-DE"/>
        </w:rPr>
      </w:pPr>
      <w:r w:rsidRPr="00405987">
        <w:rPr>
          <w:rFonts w:ascii="Arial" w:hAnsi="Arial" w:cs="Arial"/>
          <w:b/>
          <w:sz w:val="20"/>
          <w:lang w:val="de-DE"/>
        </w:rPr>
        <w:t>Funktionen von WinActor Ver.7: Große Vereinfachungen</w:t>
      </w:r>
    </w:p>
    <w:p w:rsidR="00405987" w:rsidRDefault="00405987" w:rsidP="00405987">
      <w:pPr>
        <w:pStyle w:val="Default"/>
        <w:jc w:val="both"/>
        <w:rPr>
          <w:rFonts w:ascii="Arial" w:hAnsi="Arial" w:cs="Arial"/>
          <w:b/>
          <w:sz w:val="20"/>
          <w:lang w:val="de-DE"/>
        </w:rPr>
      </w:pPr>
    </w:p>
    <w:p w:rsidR="00405987" w:rsidRPr="00405987" w:rsidRDefault="00405987" w:rsidP="00405987">
      <w:pPr>
        <w:pStyle w:val="Default"/>
        <w:jc w:val="both"/>
        <w:rPr>
          <w:rFonts w:ascii="Arial" w:hAnsi="Arial" w:cs="Arial"/>
          <w:sz w:val="20"/>
          <w:u w:val="single"/>
          <w:lang w:val="de-DE"/>
        </w:rPr>
      </w:pPr>
      <w:r w:rsidRPr="00405987">
        <w:rPr>
          <w:rFonts w:ascii="Arial" w:hAnsi="Arial" w:cs="Arial"/>
          <w:sz w:val="20"/>
          <w:u w:val="single"/>
          <w:lang w:val="de-DE"/>
        </w:rPr>
        <w:t>Für Kunden</w:t>
      </w:r>
    </w:p>
    <w:p w:rsidR="00405987" w:rsidRPr="00405987" w:rsidRDefault="00405987" w:rsidP="00405987">
      <w:pPr>
        <w:pStyle w:val="Default"/>
        <w:numPr>
          <w:ilvl w:val="0"/>
          <w:numId w:val="14"/>
        </w:numPr>
        <w:jc w:val="both"/>
        <w:rPr>
          <w:rFonts w:ascii="Arial" w:hAnsi="Arial" w:cs="Arial"/>
          <w:sz w:val="20"/>
          <w:lang w:val="de-DE"/>
        </w:rPr>
      </w:pPr>
      <w:r w:rsidRPr="00405987">
        <w:rPr>
          <w:rFonts w:ascii="Arial" w:hAnsi="Arial" w:cs="Arial"/>
          <w:sz w:val="20"/>
          <w:lang w:val="de-DE"/>
        </w:rPr>
        <w:t>Die benutzerfreundliche Oberfläche erleichtert die Implement</w:t>
      </w:r>
      <w:r>
        <w:rPr>
          <w:rFonts w:ascii="Arial" w:hAnsi="Arial" w:cs="Arial"/>
          <w:sz w:val="20"/>
          <w:lang w:val="de-DE"/>
        </w:rPr>
        <w:t xml:space="preserve">ierung der Software, ohne dass </w:t>
      </w:r>
      <w:r w:rsidRPr="00405987">
        <w:rPr>
          <w:rFonts w:ascii="Arial" w:hAnsi="Arial" w:cs="Arial"/>
          <w:sz w:val="20"/>
          <w:lang w:val="de-DE"/>
        </w:rPr>
        <w:t>hochqualifiziertes IT-Personal erforderlich ist</w:t>
      </w:r>
    </w:p>
    <w:p w:rsidR="00405987" w:rsidRPr="00405987" w:rsidRDefault="00405987" w:rsidP="00405987">
      <w:pPr>
        <w:pStyle w:val="Default"/>
        <w:numPr>
          <w:ilvl w:val="0"/>
          <w:numId w:val="14"/>
        </w:numPr>
        <w:jc w:val="both"/>
        <w:rPr>
          <w:rFonts w:ascii="Arial" w:hAnsi="Arial" w:cs="Arial"/>
          <w:sz w:val="20"/>
          <w:lang w:val="de-DE"/>
        </w:rPr>
      </w:pPr>
      <w:r w:rsidRPr="00405987">
        <w:rPr>
          <w:rFonts w:ascii="Arial" w:hAnsi="Arial" w:cs="Arial"/>
          <w:sz w:val="20"/>
          <w:lang w:val="de-DE"/>
        </w:rPr>
        <w:t>Einfache Bedienung erleichtert den Lernprozess</w:t>
      </w:r>
    </w:p>
    <w:p w:rsidR="00405987" w:rsidRPr="00405987" w:rsidRDefault="00405987" w:rsidP="00405987">
      <w:pPr>
        <w:pStyle w:val="Default"/>
        <w:numPr>
          <w:ilvl w:val="0"/>
          <w:numId w:val="14"/>
        </w:numPr>
        <w:jc w:val="both"/>
        <w:rPr>
          <w:rFonts w:ascii="Arial" w:hAnsi="Arial" w:cs="Arial"/>
          <w:sz w:val="20"/>
          <w:lang w:val="de-DE"/>
        </w:rPr>
      </w:pPr>
      <w:r w:rsidRPr="00405987">
        <w:rPr>
          <w:rFonts w:ascii="Arial" w:hAnsi="Arial" w:cs="Arial"/>
          <w:sz w:val="20"/>
          <w:lang w:val="de-DE"/>
        </w:rPr>
        <w:t>Vereinfachte Gebührenstruktur macht Arbeits- und Kostensenkungsvorteile transparent</w:t>
      </w:r>
    </w:p>
    <w:p w:rsidR="00405987" w:rsidRDefault="00405987" w:rsidP="00405987">
      <w:pPr>
        <w:pStyle w:val="Default"/>
        <w:numPr>
          <w:ilvl w:val="0"/>
          <w:numId w:val="14"/>
        </w:numPr>
        <w:jc w:val="both"/>
        <w:rPr>
          <w:rFonts w:ascii="Arial" w:hAnsi="Arial" w:cs="Arial"/>
          <w:sz w:val="20"/>
          <w:lang w:val="de-DE"/>
        </w:rPr>
      </w:pPr>
      <w:r w:rsidRPr="00405987">
        <w:rPr>
          <w:rFonts w:ascii="Arial" w:hAnsi="Arial" w:cs="Arial"/>
          <w:sz w:val="20"/>
          <w:lang w:val="de-DE"/>
        </w:rPr>
        <w:t>Vertriebspartner in jedem Land können eine breite Palette von Su</w:t>
      </w:r>
      <w:r>
        <w:rPr>
          <w:rFonts w:ascii="Arial" w:hAnsi="Arial" w:cs="Arial"/>
          <w:sz w:val="20"/>
          <w:lang w:val="de-DE"/>
        </w:rPr>
        <w:t xml:space="preserve">pport anbieten, einschließlich </w:t>
      </w:r>
      <w:r w:rsidRPr="00405987">
        <w:rPr>
          <w:rFonts w:ascii="Arial" w:hAnsi="Arial" w:cs="Arial"/>
          <w:sz w:val="20"/>
          <w:lang w:val="de-DE"/>
        </w:rPr>
        <w:t>digitale Transformation und andere Dienstleistungen</w:t>
      </w:r>
    </w:p>
    <w:p w:rsidR="00405987" w:rsidRPr="00405987" w:rsidRDefault="00405987" w:rsidP="00405987">
      <w:pPr>
        <w:pStyle w:val="Default"/>
        <w:ind w:left="720"/>
        <w:jc w:val="both"/>
        <w:rPr>
          <w:rFonts w:ascii="Arial" w:hAnsi="Arial" w:cs="Arial"/>
          <w:sz w:val="20"/>
          <w:lang w:val="de-DE"/>
        </w:rPr>
      </w:pPr>
    </w:p>
    <w:p w:rsidR="00995D6B" w:rsidRPr="00405987" w:rsidRDefault="00405987">
      <w:pPr>
        <w:pStyle w:val="Default"/>
        <w:jc w:val="both"/>
        <w:rPr>
          <w:rFonts w:ascii="Arial" w:hAnsi="Arial" w:cs="Arial"/>
          <w:sz w:val="20"/>
          <w:u w:val="single"/>
          <w:lang w:val="de-DE"/>
        </w:rPr>
      </w:pPr>
      <w:r w:rsidRPr="00405987">
        <w:rPr>
          <w:rFonts w:ascii="Arial" w:hAnsi="Arial" w:cs="Arial"/>
          <w:sz w:val="20"/>
          <w:u w:val="single"/>
          <w:lang w:val="de-DE"/>
        </w:rPr>
        <w:t>Für Vertriebspartner</w:t>
      </w:r>
    </w:p>
    <w:p w:rsidR="00405987" w:rsidRPr="00405987" w:rsidRDefault="00405987" w:rsidP="00405987">
      <w:pPr>
        <w:pStyle w:val="Default"/>
        <w:numPr>
          <w:ilvl w:val="0"/>
          <w:numId w:val="15"/>
        </w:numPr>
        <w:jc w:val="both"/>
        <w:rPr>
          <w:rFonts w:ascii="Arial" w:hAnsi="Arial" w:cs="Arial"/>
          <w:sz w:val="20"/>
          <w:lang w:val="de-DE"/>
        </w:rPr>
      </w:pPr>
      <w:r w:rsidRPr="00405987">
        <w:rPr>
          <w:rFonts w:ascii="Arial" w:hAnsi="Arial" w:cs="Arial"/>
          <w:sz w:val="20"/>
          <w:lang w:val="de-DE"/>
        </w:rPr>
        <w:t>Vereinfachung des Vertriebs ohne Bedarf an hochqualifiziertem IT-Personal</w:t>
      </w:r>
    </w:p>
    <w:p w:rsidR="00405987" w:rsidRPr="00405987" w:rsidRDefault="00405987" w:rsidP="00405987">
      <w:pPr>
        <w:pStyle w:val="Default"/>
        <w:numPr>
          <w:ilvl w:val="0"/>
          <w:numId w:val="15"/>
        </w:numPr>
        <w:jc w:val="both"/>
        <w:rPr>
          <w:rFonts w:ascii="Arial" w:hAnsi="Arial" w:cs="Arial"/>
          <w:sz w:val="20"/>
          <w:lang w:val="de-DE"/>
        </w:rPr>
      </w:pPr>
      <w:r w:rsidRPr="00405987">
        <w:rPr>
          <w:rFonts w:ascii="Arial" w:hAnsi="Arial" w:cs="Arial"/>
          <w:sz w:val="20"/>
          <w:lang w:val="de-DE"/>
        </w:rPr>
        <w:t>Globales Support Center für sofortigen technischen und vertrieblichen Support</w:t>
      </w:r>
    </w:p>
    <w:p w:rsidR="00405987" w:rsidRDefault="00405987" w:rsidP="00405987">
      <w:pPr>
        <w:pStyle w:val="Default"/>
        <w:numPr>
          <w:ilvl w:val="0"/>
          <w:numId w:val="15"/>
        </w:numPr>
        <w:jc w:val="both"/>
        <w:rPr>
          <w:rFonts w:ascii="Arial" w:hAnsi="Arial" w:cs="Arial"/>
          <w:sz w:val="20"/>
          <w:lang w:val="de-DE"/>
        </w:rPr>
      </w:pPr>
      <w:r w:rsidRPr="00405987">
        <w:rPr>
          <w:rFonts w:ascii="Arial" w:hAnsi="Arial" w:cs="Arial"/>
          <w:sz w:val="20"/>
          <w:lang w:val="de-DE"/>
        </w:rPr>
        <w:t>Breite Palette von Support-Programmen (Schnellstart / täglicher Support / fortgeschrittene Angebotsabgabe usw.)</w:t>
      </w:r>
    </w:p>
    <w:p w:rsidR="00405987" w:rsidRDefault="00405987" w:rsidP="00405987">
      <w:pPr>
        <w:pStyle w:val="Default"/>
        <w:jc w:val="both"/>
        <w:rPr>
          <w:rFonts w:ascii="Arial" w:hAnsi="Arial" w:cs="Arial"/>
          <w:sz w:val="20"/>
          <w:lang w:val="de-DE"/>
        </w:rPr>
      </w:pPr>
    </w:p>
    <w:p w:rsidR="00405987" w:rsidRPr="00405987" w:rsidRDefault="00405987" w:rsidP="00405987">
      <w:pPr>
        <w:pStyle w:val="Default"/>
        <w:jc w:val="both"/>
        <w:rPr>
          <w:rFonts w:ascii="Arial" w:hAnsi="Arial" w:cs="Arial"/>
          <w:sz w:val="20"/>
          <w:u w:val="single"/>
          <w:lang w:val="de-DE"/>
        </w:rPr>
      </w:pPr>
      <w:r w:rsidRPr="00405987">
        <w:rPr>
          <w:rFonts w:ascii="Arial" w:hAnsi="Arial" w:cs="Arial"/>
          <w:sz w:val="20"/>
          <w:u w:val="single"/>
          <w:lang w:val="de-DE"/>
        </w:rPr>
        <w:t>Funktionsmerkmale</w:t>
      </w:r>
    </w:p>
    <w:p w:rsidR="00405987" w:rsidRPr="00405987" w:rsidRDefault="00405987" w:rsidP="00405987">
      <w:pPr>
        <w:pStyle w:val="Default"/>
        <w:numPr>
          <w:ilvl w:val="0"/>
          <w:numId w:val="16"/>
        </w:numPr>
        <w:jc w:val="both"/>
        <w:rPr>
          <w:rFonts w:ascii="Arial" w:hAnsi="Arial" w:cs="Arial"/>
          <w:sz w:val="20"/>
          <w:lang w:val="de-DE"/>
        </w:rPr>
      </w:pPr>
      <w:r w:rsidRPr="00405987">
        <w:rPr>
          <w:rFonts w:ascii="Arial" w:hAnsi="Arial" w:cs="Arial"/>
          <w:sz w:val="20"/>
          <w:lang w:val="de-DE"/>
        </w:rPr>
        <w:t>Vollständig erneuerte Software-Architektur zur Erhöhung der Verarbeitungsgeschwindigkeit</w:t>
      </w:r>
    </w:p>
    <w:p w:rsidR="00405987" w:rsidRPr="00405987" w:rsidRDefault="00405987" w:rsidP="00405987">
      <w:pPr>
        <w:pStyle w:val="Default"/>
        <w:numPr>
          <w:ilvl w:val="0"/>
          <w:numId w:val="16"/>
        </w:numPr>
        <w:jc w:val="both"/>
        <w:rPr>
          <w:rFonts w:ascii="Arial" w:hAnsi="Arial" w:cs="Arial"/>
          <w:sz w:val="20"/>
          <w:lang w:val="de-DE"/>
        </w:rPr>
      </w:pPr>
      <w:r w:rsidRPr="00405987">
        <w:rPr>
          <w:rFonts w:ascii="Arial" w:hAnsi="Arial" w:cs="Arial"/>
          <w:sz w:val="20"/>
          <w:lang w:val="de-DE"/>
        </w:rPr>
        <w:t>Neues User Interface mit Schwerpunkt auf Sichtbarkeit und Funktionsfähigkeit</w:t>
      </w:r>
    </w:p>
    <w:p w:rsidR="00405987" w:rsidRPr="00405987" w:rsidRDefault="00405987" w:rsidP="00405987">
      <w:pPr>
        <w:pStyle w:val="Default"/>
        <w:numPr>
          <w:ilvl w:val="0"/>
          <w:numId w:val="16"/>
        </w:numPr>
        <w:jc w:val="both"/>
        <w:rPr>
          <w:rFonts w:ascii="Arial" w:hAnsi="Arial" w:cs="Arial"/>
          <w:sz w:val="20"/>
          <w:lang w:val="de-DE"/>
        </w:rPr>
      </w:pPr>
      <w:r w:rsidRPr="00405987">
        <w:rPr>
          <w:rFonts w:ascii="Arial" w:hAnsi="Arial" w:cs="Arial"/>
          <w:sz w:val="20"/>
          <w:lang w:val="de-DE"/>
        </w:rPr>
        <w:t>Verbesserte Arbeitseffizienz durch gleichzeitige Bearbeitung mehrerer Szenarien</w:t>
      </w:r>
    </w:p>
    <w:p w:rsidR="00405987" w:rsidRPr="00405987" w:rsidRDefault="00405987" w:rsidP="00405987">
      <w:pPr>
        <w:pStyle w:val="Default"/>
        <w:numPr>
          <w:ilvl w:val="0"/>
          <w:numId w:val="16"/>
        </w:numPr>
        <w:jc w:val="both"/>
        <w:rPr>
          <w:rFonts w:ascii="Arial" w:hAnsi="Arial" w:cs="Arial"/>
          <w:sz w:val="20"/>
          <w:lang w:val="de-DE"/>
        </w:rPr>
      </w:pPr>
      <w:r w:rsidRPr="00405987">
        <w:rPr>
          <w:rFonts w:ascii="Arial" w:hAnsi="Arial" w:cs="Arial"/>
          <w:sz w:val="20"/>
          <w:lang w:val="de-DE"/>
        </w:rPr>
        <w:t>Screen OCR zur effizienteren Erstellung von Szenarien</w:t>
      </w:r>
    </w:p>
    <w:p w:rsidR="00405987" w:rsidRPr="00405987" w:rsidRDefault="00405987" w:rsidP="00405987">
      <w:pPr>
        <w:pStyle w:val="Default"/>
        <w:numPr>
          <w:ilvl w:val="0"/>
          <w:numId w:val="16"/>
        </w:numPr>
        <w:jc w:val="both"/>
        <w:rPr>
          <w:rFonts w:ascii="Arial" w:hAnsi="Arial" w:cs="Arial"/>
          <w:sz w:val="20"/>
          <w:lang w:val="de-DE"/>
        </w:rPr>
      </w:pPr>
      <w:r w:rsidRPr="00405987">
        <w:rPr>
          <w:rFonts w:ascii="Arial" w:hAnsi="Arial" w:cs="Arial"/>
          <w:sz w:val="20"/>
          <w:lang w:val="de-DE"/>
        </w:rPr>
        <w:t>Rückwärtskompatibilität mit Szenarien der Vorgängerversionen (Ver.5 / Ver.6)</w:t>
      </w:r>
    </w:p>
    <w:p w:rsidR="00405987" w:rsidRPr="00405987" w:rsidRDefault="00405987" w:rsidP="00405987">
      <w:pPr>
        <w:pStyle w:val="Default"/>
        <w:numPr>
          <w:ilvl w:val="0"/>
          <w:numId w:val="16"/>
        </w:numPr>
        <w:jc w:val="both"/>
        <w:rPr>
          <w:rFonts w:ascii="Arial" w:hAnsi="Arial" w:cs="Arial"/>
          <w:sz w:val="20"/>
          <w:lang w:val="de-DE"/>
        </w:rPr>
      </w:pPr>
      <w:r w:rsidRPr="00405987">
        <w:rPr>
          <w:rFonts w:ascii="Arial" w:hAnsi="Arial" w:cs="Arial"/>
          <w:sz w:val="20"/>
          <w:lang w:val="de-DE"/>
        </w:rPr>
        <w:t>Entwicklung von Szenarien mit Texteditoren (für fortgeschrittene Benutzer)</w:t>
      </w:r>
    </w:p>
    <w:p w:rsidR="00405987" w:rsidRDefault="00405987" w:rsidP="00405987">
      <w:pPr>
        <w:pStyle w:val="Default"/>
        <w:jc w:val="both"/>
        <w:rPr>
          <w:rFonts w:ascii="Arial" w:hAnsi="Arial" w:cs="Arial"/>
          <w:sz w:val="20"/>
          <w:lang w:val="de-DE"/>
        </w:rPr>
      </w:pPr>
    </w:p>
    <w:p w:rsidR="00995945" w:rsidRDefault="00995945" w:rsidP="00995945">
      <w:pPr>
        <w:pStyle w:val="Default"/>
        <w:jc w:val="both"/>
        <w:rPr>
          <w:rFonts w:ascii="Arial" w:hAnsi="Arial" w:cs="Arial"/>
          <w:b/>
          <w:sz w:val="20"/>
          <w:lang w:val="de-DE"/>
        </w:rPr>
      </w:pPr>
      <w:r>
        <w:rPr>
          <w:rFonts w:ascii="Arial" w:hAnsi="Arial" w:cs="Arial"/>
          <w:b/>
          <w:sz w:val="20"/>
          <w:lang w:val="de-DE"/>
        </w:rPr>
        <w:t>Weitere Informationen</w:t>
      </w:r>
      <w:r w:rsidR="005A1C6D">
        <w:rPr>
          <w:rFonts w:ascii="Arial" w:hAnsi="Arial" w:cs="Arial"/>
          <w:b/>
          <w:sz w:val="20"/>
          <w:lang w:val="de-DE"/>
        </w:rPr>
        <w:t xml:space="preserve"> zu WinActor Ver.7:</w:t>
      </w:r>
    </w:p>
    <w:p w:rsidR="005A1C6D" w:rsidRDefault="005A1C6D" w:rsidP="00995945">
      <w:pPr>
        <w:pStyle w:val="Default"/>
        <w:jc w:val="both"/>
        <w:rPr>
          <w:rFonts w:ascii="Arial" w:hAnsi="Arial" w:cs="Arial"/>
          <w:b/>
          <w:sz w:val="20"/>
          <w:lang w:val="de-DE"/>
        </w:rPr>
      </w:pPr>
    </w:p>
    <w:tbl>
      <w:tblPr>
        <w:tblStyle w:val="EinfacheTabelle1"/>
        <w:tblW w:w="0" w:type="auto"/>
        <w:tblLook w:val="04A0" w:firstRow="1" w:lastRow="0" w:firstColumn="1" w:lastColumn="0" w:noHBand="0" w:noVBand="1"/>
      </w:tblPr>
      <w:tblGrid>
        <w:gridCol w:w="2595"/>
        <w:gridCol w:w="5899"/>
      </w:tblGrid>
      <w:tr w:rsidR="005A1C6D" w:rsidRPr="004A4226" w:rsidTr="005A1C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5A1C6D" w:rsidRPr="005A1C6D" w:rsidRDefault="005A1C6D" w:rsidP="00995945">
            <w:pPr>
              <w:pStyle w:val="Default"/>
              <w:jc w:val="both"/>
              <w:rPr>
                <w:rFonts w:ascii="Arial" w:hAnsi="Arial" w:cs="Arial"/>
                <w:b w:val="0"/>
                <w:sz w:val="18"/>
                <w:lang w:val="de-DE"/>
              </w:rPr>
            </w:pPr>
            <w:r w:rsidRPr="005A1C6D">
              <w:rPr>
                <w:rFonts w:ascii="Arial" w:hAnsi="Arial" w:cs="Arial"/>
                <w:b w:val="0"/>
                <w:sz w:val="18"/>
                <w:lang w:val="de-DE"/>
              </w:rPr>
              <w:t>Offizielle Version des Demo-Films</w:t>
            </w:r>
          </w:p>
        </w:tc>
        <w:tc>
          <w:tcPr>
            <w:tcW w:w="4247" w:type="dxa"/>
          </w:tcPr>
          <w:p w:rsidR="005A1C6D" w:rsidRPr="005A1C6D" w:rsidRDefault="00805760" w:rsidP="00995945">
            <w:pPr>
              <w:pStyle w:val="Default"/>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lang w:val="de-DE"/>
              </w:rPr>
            </w:pPr>
            <w:hyperlink r:id="rId8" w:history="1">
              <w:r w:rsidR="005A1C6D" w:rsidRPr="005A1C6D">
                <w:rPr>
                  <w:rStyle w:val="Hyperlink"/>
                  <w:rFonts w:ascii="Arial" w:hAnsi="Arial" w:cs="Arial"/>
                  <w:b w:val="0"/>
                  <w:sz w:val="18"/>
                  <w:lang w:val="de-DE"/>
                </w:rPr>
                <w:t>https://youtu.be/RJUhZD-nSJQ</w:t>
              </w:r>
            </w:hyperlink>
          </w:p>
        </w:tc>
      </w:tr>
      <w:tr w:rsidR="005A1C6D" w:rsidRPr="004A4226" w:rsidTr="005A1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5A1C6D" w:rsidRPr="005A1C6D" w:rsidRDefault="005A1C6D" w:rsidP="00995945">
            <w:pPr>
              <w:pStyle w:val="Default"/>
              <w:jc w:val="both"/>
              <w:rPr>
                <w:rFonts w:ascii="Arial" w:hAnsi="Arial" w:cs="Arial"/>
                <w:b w:val="0"/>
                <w:sz w:val="18"/>
                <w:lang w:val="de-DE"/>
              </w:rPr>
            </w:pPr>
            <w:r w:rsidRPr="005A1C6D">
              <w:rPr>
                <w:rFonts w:ascii="Arial" w:hAnsi="Arial" w:cs="Arial"/>
                <w:b w:val="0"/>
                <w:sz w:val="18"/>
                <w:lang w:val="de-DE"/>
              </w:rPr>
              <w:t>Globale Vertriebspartner</w:t>
            </w:r>
          </w:p>
        </w:tc>
        <w:tc>
          <w:tcPr>
            <w:tcW w:w="4247" w:type="dxa"/>
          </w:tcPr>
          <w:p w:rsidR="005A1C6D" w:rsidRPr="005A1C6D" w:rsidRDefault="005A1C6D" w:rsidP="005A1C6D">
            <w:pPr>
              <w:pStyle w:val="Defaul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lang w:val="de-DE"/>
              </w:rPr>
            </w:pPr>
            <w:r>
              <w:rPr>
                <w:rFonts w:ascii="Arial" w:hAnsi="Arial" w:cs="Arial"/>
                <w:sz w:val="18"/>
                <w:lang w:val="de-DE"/>
              </w:rPr>
              <w:t>4</w:t>
            </w:r>
            <w:r w:rsidRPr="005A1C6D">
              <w:rPr>
                <w:rFonts w:ascii="Arial" w:hAnsi="Arial" w:cs="Arial"/>
                <w:sz w:val="18"/>
                <w:lang w:val="de-DE"/>
              </w:rPr>
              <w:t xml:space="preserve"> Kontinente: Europa / APAC / Afrika / Nord- und Südamerika </w:t>
            </w:r>
          </w:p>
          <w:p w:rsidR="005A1C6D" w:rsidRPr="005A1C6D" w:rsidRDefault="005A1C6D" w:rsidP="005A1C6D">
            <w:pPr>
              <w:pStyle w:val="Defaul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lang w:val="de-DE"/>
              </w:rPr>
            </w:pPr>
            <w:r w:rsidRPr="005A1C6D">
              <w:rPr>
                <w:rFonts w:ascii="Arial" w:hAnsi="Arial" w:cs="Arial"/>
                <w:sz w:val="18"/>
                <w:lang w:val="de-DE"/>
              </w:rPr>
              <w:t>39 Vertriebspartnerunternehmen in 76 Ländern weltweit (Stand September 2020)</w:t>
            </w:r>
          </w:p>
          <w:p w:rsidR="005A1C6D" w:rsidRPr="005A1C6D" w:rsidRDefault="005A1C6D" w:rsidP="005A1C6D">
            <w:pPr>
              <w:pStyle w:val="Defaul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lang w:val="de-DE"/>
              </w:rPr>
            </w:pPr>
            <w:r w:rsidRPr="005A1C6D">
              <w:rPr>
                <w:rFonts w:ascii="Arial" w:hAnsi="Arial" w:cs="Arial"/>
                <w:sz w:val="18"/>
                <w:lang w:val="de-DE"/>
              </w:rPr>
              <w:t>Der Vertrieb konzentriert sich derzeit auf Europa und Asien, wobei ab Ende Oktober eine Ausweitung auf Lateinamerika, Afrika und den Nahen Osten bevorsteht.</w:t>
            </w:r>
          </w:p>
        </w:tc>
      </w:tr>
      <w:tr w:rsidR="005A1C6D" w:rsidRPr="005A1C6D" w:rsidTr="005A1C6D">
        <w:tc>
          <w:tcPr>
            <w:cnfStyle w:val="001000000000" w:firstRow="0" w:lastRow="0" w:firstColumn="1" w:lastColumn="0" w:oddVBand="0" w:evenVBand="0" w:oddHBand="0" w:evenHBand="0" w:firstRowFirstColumn="0" w:firstRowLastColumn="0" w:lastRowFirstColumn="0" w:lastRowLastColumn="0"/>
            <w:tcW w:w="4247" w:type="dxa"/>
          </w:tcPr>
          <w:p w:rsidR="005A1C6D" w:rsidRPr="005A1C6D" w:rsidRDefault="005A1C6D" w:rsidP="00995945">
            <w:pPr>
              <w:pStyle w:val="Default"/>
              <w:jc w:val="both"/>
              <w:rPr>
                <w:rFonts w:ascii="Arial" w:hAnsi="Arial" w:cs="Arial"/>
                <w:b w:val="0"/>
                <w:sz w:val="18"/>
                <w:lang w:val="de-DE"/>
              </w:rPr>
            </w:pPr>
            <w:r w:rsidRPr="005A1C6D">
              <w:rPr>
                <w:rFonts w:ascii="Arial" w:hAnsi="Arial" w:cs="Arial"/>
                <w:b w:val="0"/>
                <w:sz w:val="18"/>
                <w:lang w:val="de-DE"/>
              </w:rPr>
              <w:lastRenderedPageBreak/>
              <w:t>Partnerliste</w:t>
            </w:r>
          </w:p>
        </w:tc>
        <w:tc>
          <w:tcPr>
            <w:tcW w:w="4247" w:type="dxa"/>
          </w:tcPr>
          <w:p w:rsidR="005A1C6D" w:rsidRPr="005A1C6D" w:rsidRDefault="00805760" w:rsidP="00995945">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18"/>
                <w:lang w:val="de-DE"/>
              </w:rPr>
            </w:pPr>
            <w:hyperlink r:id="rId9" w:history="1">
              <w:r w:rsidR="005A1C6D" w:rsidRPr="00ED1680">
                <w:rPr>
                  <w:rStyle w:val="Hyperlink"/>
                  <w:rFonts w:ascii="Arial" w:hAnsi="Arial" w:cs="Arial"/>
                  <w:sz w:val="18"/>
                  <w:lang w:val="de-DE"/>
                </w:rPr>
                <w:t>http://reseller.winactor.vn/</w:t>
              </w:r>
            </w:hyperlink>
          </w:p>
        </w:tc>
      </w:tr>
      <w:tr w:rsidR="005A1C6D" w:rsidRPr="005A1C6D" w:rsidTr="005A1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5A1C6D" w:rsidRPr="005A1C6D" w:rsidRDefault="005A1C6D" w:rsidP="005A1C6D">
            <w:pPr>
              <w:pStyle w:val="Default"/>
              <w:rPr>
                <w:rFonts w:ascii="Arial" w:hAnsi="Arial" w:cs="Arial"/>
                <w:b w:val="0"/>
                <w:sz w:val="18"/>
                <w:lang w:val="en-US"/>
              </w:rPr>
            </w:pPr>
            <w:r w:rsidRPr="005A1C6D">
              <w:rPr>
                <w:rFonts w:ascii="Arial" w:hAnsi="Arial" w:cs="Arial"/>
                <w:b w:val="0"/>
                <w:sz w:val="18"/>
                <w:lang w:val="en-US"/>
              </w:rPr>
              <w:t>WinActor Global Support Center – APAC</w:t>
            </w:r>
            <w:r w:rsidRPr="005A1C6D">
              <w:rPr>
                <w:rFonts w:ascii="MS Gothic" w:eastAsia="MS Gothic" w:hAnsi="MS Gothic" w:cs="MS Gothic" w:hint="eastAsia"/>
                <w:b w:val="0"/>
                <w:sz w:val="18"/>
                <w:lang w:val="en-US"/>
              </w:rPr>
              <w:t>（</w:t>
            </w:r>
            <w:r w:rsidRPr="005A1C6D">
              <w:rPr>
                <w:rFonts w:ascii="Arial" w:hAnsi="Arial" w:cs="Arial"/>
                <w:b w:val="0"/>
                <w:sz w:val="18"/>
                <w:lang w:val="en-US"/>
              </w:rPr>
              <w:t>Youtube</w:t>
            </w:r>
            <w:r>
              <w:rPr>
                <w:rFonts w:ascii="Arial" w:hAnsi="Arial" w:cs="Arial"/>
                <w:b w:val="0"/>
                <w:sz w:val="18"/>
                <w:lang w:val="en-US"/>
              </w:rPr>
              <w:t>)</w:t>
            </w:r>
          </w:p>
        </w:tc>
        <w:tc>
          <w:tcPr>
            <w:tcW w:w="4247" w:type="dxa"/>
          </w:tcPr>
          <w:p w:rsidR="005A1C6D" w:rsidRPr="000770B0" w:rsidRDefault="00805760" w:rsidP="0099594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18"/>
                <w:lang w:val="en-US"/>
              </w:rPr>
            </w:pPr>
            <w:hyperlink r:id="rId10" w:history="1">
              <w:r w:rsidR="005A1C6D" w:rsidRPr="00ED1680">
                <w:rPr>
                  <w:rStyle w:val="Hyperlink"/>
                  <w:rFonts w:ascii="Arial" w:hAnsi="Arial" w:cs="Arial"/>
                  <w:sz w:val="18"/>
                  <w:lang w:val="en-US"/>
                </w:rPr>
                <w:t>https://www.youtube.com/c/WinActorGlobalSupportCenterAPAC/videos</w:t>
              </w:r>
            </w:hyperlink>
          </w:p>
        </w:tc>
      </w:tr>
      <w:tr w:rsidR="005A1C6D" w:rsidRPr="005A1C6D" w:rsidTr="005A1C6D">
        <w:tc>
          <w:tcPr>
            <w:cnfStyle w:val="001000000000" w:firstRow="0" w:lastRow="0" w:firstColumn="1" w:lastColumn="0" w:oddVBand="0" w:evenVBand="0" w:oddHBand="0" w:evenHBand="0" w:firstRowFirstColumn="0" w:firstRowLastColumn="0" w:lastRowFirstColumn="0" w:lastRowLastColumn="0"/>
            <w:tcW w:w="4247" w:type="dxa"/>
          </w:tcPr>
          <w:p w:rsidR="005A1C6D" w:rsidRPr="000770B0" w:rsidRDefault="005A1C6D" w:rsidP="00995945">
            <w:pPr>
              <w:pStyle w:val="Default"/>
              <w:jc w:val="both"/>
              <w:rPr>
                <w:rFonts w:ascii="Arial" w:hAnsi="Arial" w:cs="Arial"/>
                <w:b w:val="0"/>
                <w:sz w:val="18"/>
                <w:lang w:val="en-US"/>
              </w:rPr>
            </w:pPr>
          </w:p>
        </w:tc>
        <w:tc>
          <w:tcPr>
            <w:tcW w:w="4247" w:type="dxa"/>
          </w:tcPr>
          <w:p w:rsidR="005A1C6D" w:rsidRPr="000770B0" w:rsidRDefault="005A1C6D" w:rsidP="00995945">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p>
        </w:tc>
      </w:tr>
    </w:tbl>
    <w:p w:rsidR="005A1C6D" w:rsidRPr="000770B0" w:rsidRDefault="005A1C6D" w:rsidP="00995945">
      <w:pPr>
        <w:pStyle w:val="Default"/>
        <w:jc w:val="both"/>
        <w:rPr>
          <w:rFonts w:ascii="Arial" w:hAnsi="Arial" w:cs="Arial"/>
          <w:b/>
          <w:sz w:val="20"/>
          <w:lang w:val="en-US"/>
        </w:rPr>
      </w:pPr>
    </w:p>
    <w:p w:rsidR="005502C4" w:rsidRPr="000770B0" w:rsidRDefault="005502C4" w:rsidP="00405987">
      <w:pPr>
        <w:pStyle w:val="Default"/>
        <w:jc w:val="both"/>
        <w:rPr>
          <w:rFonts w:ascii="Arial" w:hAnsi="Arial" w:cs="Arial"/>
          <w:sz w:val="20"/>
          <w:lang w:val="en-US"/>
        </w:rPr>
      </w:pPr>
    </w:p>
    <w:p w:rsidR="00565BDB" w:rsidRPr="000F0622" w:rsidRDefault="00565BDB" w:rsidP="00565BDB">
      <w:pPr>
        <w:pStyle w:val="StandardWeb"/>
        <w:ind w:right="-1"/>
        <w:jc w:val="both"/>
        <w:rPr>
          <w:rFonts w:ascii="Arial" w:eastAsiaTheme="minorHAnsi" w:hAnsi="Arial" w:cs="Arial"/>
          <w:b/>
          <w:bCs/>
          <w:color w:val="000000" w:themeColor="text1"/>
          <w:sz w:val="20"/>
          <w:szCs w:val="22"/>
          <w:lang w:val="de-DE" w:eastAsia="en-US"/>
        </w:rPr>
      </w:pPr>
      <w:r w:rsidRPr="000F0622">
        <w:rPr>
          <w:rFonts w:ascii="Arial" w:eastAsiaTheme="minorHAnsi" w:hAnsi="Arial" w:cs="Arial"/>
          <w:b/>
          <w:bCs/>
          <w:color w:val="000000" w:themeColor="text1"/>
          <w:sz w:val="20"/>
          <w:szCs w:val="22"/>
          <w:lang w:val="de-DE" w:eastAsia="en-US"/>
        </w:rPr>
        <w:t>Über NTT DATA</w:t>
      </w:r>
    </w:p>
    <w:p w:rsidR="00565BDB" w:rsidRDefault="00565BDB" w:rsidP="00565BDB">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NTT DATA – ein Teil der NTT Group – ist Trusted Global Innovator von Business- und IT-Lösungen mit Hauptsitz in Tokio. Wir unterstützen unsere Kunden bei ihrer Transformation durch Consulting, Branchenlösungen, Business Process Services, IT-Modernisierung und Managed Services. Mit NTT DATA können Kunden und die Gesellschaft im Allgemeinen selbstbewusst in die digitale Zukunft gehen. Wir 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rsidR="00565BDB" w:rsidRPr="00341BB1" w:rsidRDefault="00565BDB" w:rsidP="00565BDB">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Deutschland unter </w:t>
      </w:r>
      <w:hyperlink r:id="rId11" w:history="1">
        <w:r w:rsidRPr="00565BDB">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br/>
        <w:t xml:space="preserve">Österreich unter </w:t>
      </w:r>
      <w:hyperlink r:id="rId12" w:history="1">
        <w:r w:rsidRPr="00565BDB">
          <w:rPr>
            <w:rStyle w:val="Hyperlink"/>
            <w:rFonts w:ascii="Arial" w:eastAsiaTheme="minorHAnsi" w:hAnsi="Arial" w:cs="Arial"/>
            <w:sz w:val="20"/>
            <w:szCs w:val="22"/>
            <w:lang w:val="de-DE" w:eastAsia="en-US"/>
          </w:rPr>
          <w:t>at.nttdata.com</w:t>
        </w:r>
      </w:hyperlink>
      <w:r>
        <w:rPr>
          <w:rFonts w:ascii="Arial" w:eastAsiaTheme="minorHAnsi" w:hAnsi="Arial" w:cs="Arial"/>
          <w:color w:val="000000" w:themeColor="text1"/>
          <w:sz w:val="20"/>
          <w:szCs w:val="22"/>
          <w:lang w:val="de-DE" w:eastAsia="en-US"/>
        </w:rPr>
        <w:br/>
        <w:t xml:space="preserve">Schweiz unter </w:t>
      </w:r>
      <w:hyperlink r:id="rId13" w:history="1">
        <w:r w:rsidRPr="00565BDB">
          <w:rPr>
            <w:rStyle w:val="Hyperlink"/>
            <w:rFonts w:ascii="Arial" w:eastAsiaTheme="minorHAnsi" w:hAnsi="Arial" w:cs="Arial"/>
            <w:sz w:val="20"/>
            <w:szCs w:val="22"/>
            <w:lang w:val="de-DE" w:eastAsia="en-US"/>
          </w:rPr>
          <w:t>ch.nttdata.com</w:t>
        </w:r>
      </w:hyperlink>
    </w:p>
    <w:p w:rsidR="00565BDB" w:rsidRPr="000F0622" w:rsidRDefault="00565BDB" w:rsidP="00565BDB">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rsidR="00565BDB" w:rsidRPr="00635BDE" w:rsidRDefault="00565BDB" w:rsidP="00565BDB">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rsidR="00565BDB" w:rsidRPr="0069575E" w:rsidRDefault="00565BDB" w:rsidP="00565BDB">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rsidR="00565BDB" w:rsidRPr="00BA5FDB" w:rsidRDefault="00565BDB" w:rsidP="00565BDB">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rsidR="00565BDB" w:rsidRPr="0069575E" w:rsidRDefault="00565BDB" w:rsidP="00565BDB">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rsidR="00565BDB" w:rsidRDefault="00565BDB" w:rsidP="00565BDB">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14" w:history="1">
        <w:r w:rsidRPr="000F0622">
          <w:rPr>
            <w:rStyle w:val="Hyperlink"/>
            <w:rFonts w:ascii="Arial" w:hAnsi="Arial" w:cs="Arial"/>
            <w:color w:val="auto"/>
            <w:sz w:val="20"/>
            <w:szCs w:val="20"/>
            <w:lang w:val="de-DE"/>
          </w:rPr>
          <w:t>Katja.Friedrich@nttdata.com</w:t>
        </w:r>
      </w:hyperlink>
    </w:p>
    <w:p w:rsidR="004730BE" w:rsidRDefault="004730B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p>
    <w:p w:rsidR="00995D6B" w:rsidRDefault="00995D6B">
      <w:pPr>
        <w:rPr>
          <w:rStyle w:val="Kommentarzeichen"/>
          <w:color w:val="auto"/>
          <w:sz w:val="20"/>
          <w:szCs w:val="20"/>
          <w:lang w:val="de-DE"/>
        </w:rPr>
      </w:pPr>
    </w:p>
    <w:sectPr w:rsidR="00995D6B">
      <w:headerReference w:type="default" r:id="rId15"/>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60" w:rsidRDefault="00805760">
      <w:pPr>
        <w:spacing w:before="0" w:after="0"/>
      </w:pPr>
      <w:r>
        <w:separator/>
      </w:r>
    </w:p>
  </w:endnote>
  <w:endnote w:type="continuationSeparator" w:id="0">
    <w:p w:rsidR="00805760" w:rsidRDefault="008057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60" w:rsidRDefault="00805760">
      <w:pPr>
        <w:spacing w:before="0" w:after="0"/>
      </w:pPr>
      <w:r>
        <w:separator/>
      </w:r>
    </w:p>
  </w:footnote>
  <w:footnote w:type="continuationSeparator" w:id="0">
    <w:p w:rsidR="00805760" w:rsidRDefault="008057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6B" w:rsidRDefault="004730BE">
    <w:pPr>
      <w:pStyle w:val="Kopfzeile"/>
      <w:tabs>
        <w:tab w:val="left" w:pos="1560"/>
      </w:tabs>
    </w:pPr>
    <w:r>
      <w:rPr>
        <w:noProof/>
        <w:lang w:val="de-DE" w:eastAsia="de-DE"/>
      </w:rPr>
      <w:drawing>
        <wp:anchor distT="0" distB="0" distL="114300" distR="114300" simplePos="0" relativeHeight="251660800" behindDoc="0" locked="0" layoutInCell="1" allowOverlap="1">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D6B" w:rsidRDefault="004730B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rsidR="00995D6B" w:rsidRDefault="004730B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A1D"/>
    <w:multiLevelType w:val="hybridMultilevel"/>
    <w:tmpl w:val="76B6A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1B9E3ED2"/>
    <w:multiLevelType w:val="hybridMultilevel"/>
    <w:tmpl w:val="9432D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4" w15:restartNumberingAfterBreak="0">
    <w:nsid w:val="357337A9"/>
    <w:multiLevelType w:val="hybridMultilevel"/>
    <w:tmpl w:val="1D1882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6"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7" w15:restartNumberingAfterBreak="0">
    <w:nsid w:val="43C6375B"/>
    <w:multiLevelType w:val="hybridMultilevel"/>
    <w:tmpl w:val="94BED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1"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6" w15:restartNumberingAfterBreak="0">
    <w:nsid w:val="754247DF"/>
    <w:multiLevelType w:val="hybridMultilevel"/>
    <w:tmpl w:val="13CCF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3"/>
  </w:num>
  <w:num w:numId="2">
    <w:abstractNumId w:val="13"/>
  </w:num>
  <w:num w:numId="3">
    <w:abstractNumId w:val="1"/>
  </w:num>
  <w:num w:numId="4">
    <w:abstractNumId w:val="6"/>
  </w:num>
  <w:num w:numId="5">
    <w:abstractNumId w:val="14"/>
  </w:num>
  <w:num w:numId="6">
    <w:abstractNumId w:val="10"/>
  </w:num>
  <w:num w:numId="7">
    <w:abstractNumId w:val="15"/>
  </w:num>
  <w:num w:numId="8">
    <w:abstractNumId w:val="5"/>
  </w:num>
  <w:num w:numId="9">
    <w:abstractNumId w:val="8"/>
  </w:num>
  <w:num w:numId="10">
    <w:abstractNumId w:val="17"/>
  </w:num>
  <w:num w:numId="11">
    <w:abstractNumId w:val="11"/>
  </w:num>
  <w:num w:numId="12">
    <w:abstractNumId w:val="9"/>
  </w:num>
  <w:num w:numId="13">
    <w:abstractNumId w:val="12"/>
  </w:num>
  <w:num w:numId="14">
    <w:abstractNumId w:val="7"/>
  </w:num>
  <w:num w:numId="15">
    <w:abstractNumId w:val="16"/>
  </w:num>
  <w:num w:numId="16">
    <w:abstractNumId w:val="0"/>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6B"/>
    <w:rsid w:val="000770B0"/>
    <w:rsid w:val="00167843"/>
    <w:rsid w:val="001E23F1"/>
    <w:rsid w:val="001F4116"/>
    <w:rsid w:val="00405987"/>
    <w:rsid w:val="004730BE"/>
    <w:rsid w:val="004A4226"/>
    <w:rsid w:val="00510679"/>
    <w:rsid w:val="005502C4"/>
    <w:rsid w:val="00565BDB"/>
    <w:rsid w:val="005A1C6D"/>
    <w:rsid w:val="006E6137"/>
    <w:rsid w:val="00805760"/>
    <w:rsid w:val="00995945"/>
    <w:rsid w:val="00995D6B"/>
    <w:rsid w:val="00AE36C0"/>
    <w:rsid w:val="00BA133A"/>
    <w:rsid w:val="00ED16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UnresolvedMention">
    <w:name w:val="Unresolved Mention"/>
    <w:basedOn w:val="Absatz-Standardschriftart"/>
    <w:uiPriority w:val="99"/>
    <w:semiHidden/>
    <w:unhideWhenUsed/>
    <w:rPr>
      <w:color w:val="605E5C"/>
      <w:shd w:val="clear" w:color="auto" w:fill="E1DFDD"/>
    </w:rPr>
  </w:style>
  <w:style w:type="table" w:styleId="Tabellenraster">
    <w:name w:val="Table Grid"/>
    <w:basedOn w:val="NormaleTabelle"/>
    <w:uiPriority w:val="59"/>
    <w:rsid w:val="005A1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5A1C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JUhZD-nSJQ" TargetMode="External"/><Relationship Id="rId13" Type="http://schemas.openxmlformats.org/officeDocument/2006/relationships/hyperlink" Target="file:///\\muc-nas-02.de.softlab.net\sl_muc\Marketing_Communications\_Intern\UNTERNEHMENSKOMMUNIKATION\Public%20Relations\Pressemitteilungen-News\NTT%20DATA\TEMPLATES\ch.ntt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muc-nas-02.de.softlab.net\sl_muc\Marketing_Communications\_Intern\UNTERNEHMENSKOMMUNIKATION\Public%20Relations\Pressemitteilungen-News\NTT%20DATA\TEMPLATES\at.nttdat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uc-nas-02.de.softlab.net\sl_muc\Marketing_Communications\_Intern\UNTERNEHMENSKOMMUNIKATION\Public%20Relations\Pressemitteilungen-News\NTT%20DATA\TEMPLATES\de.nttdat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c/WinActorGlobalSupportCenterAPAC/videos" TargetMode="External"/><Relationship Id="rId4" Type="http://schemas.openxmlformats.org/officeDocument/2006/relationships/settings" Target="settings.xml"/><Relationship Id="rId9" Type="http://schemas.openxmlformats.org/officeDocument/2006/relationships/hyperlink" Target="http://reseller.winactor.vn/" TargetMode="External"/><Relationship Id="rId14" Type="http://schemas.openxmlformats.org/officeDocument/2006/relationships/hyperlink" Target="mailto:Katja.Friedrich@nttda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442A-D0B8-469C-B9C7-1E6DEB97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2020-12-08T10:15:00Z</dcterms:created>
  <dcterms:modified xsi:type="dcterms:W3CDTF">2020-12-08T10:15:00Z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