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AE0D0" w14:textId="415B2B99" w:rsidR="003E1EEA" w:rsidRPr="00D87C77" w:rsidRDefault="003E1EEA" w:rsidP="003E1EEA">
      <w:pPr>
        <w:spacing w:after="0" w:line="276" w:lineRule="auto"/>
        <w:rPr>
          <w:rFonts w:cs="Arial"/>
          <w:b/>
          <w:color w:val="auto"/>
          <w:sz w:val="24"/>
          <w:lang w:val="de-DE"/>
        </w:rPr>
      </w:pPr>
      <w:bookmarkStart w:id="0" w:name="_Hlk518036377"/>
      <w:r>
        <w:rPr>
          <w:rFonts w:cs="Arial"/>
          <w:b/>
          <w:color w:val="auto"/>
          <w:sz w:val="24"/>
          <w:lang w:val="de-DE"/>
        </w:rPr>
        <w:t>NTT DATA entwickelt cloud</w:t>
      </w:r>
      <w:r w:rsidR="00B10C4D">
        <w:rPr>
          <w:rFonts w:cs="Arial"/>
          <w:b/>
          <w:color w:val="auto"/>
          <w:sz w:val="24"/>
          <w:lang w:val="de-DE"/>
        </w:rPr>
        <w:t>-</w:t>
      </w:r>
      <w:bookmarkStart w:id="1" w:name="_GoBack"/>
      <w:bookmarkEnd w:id="1"/>
      <w:r>
        <w:rPr>
          <w:rFonts w:cs="Arial"/>
          <w:b/>
          <w:color w:val="auto"/>
          <w:sz w:val="24"/>
          <w:lang w:val="de-DE"/>
        </w:rPr>
        <w:t>basierte Lösung für mehr Effizienz im Homologationsprozess</w:t>
      </w:r>
    </w:p>
    <w:bookmarkEnd w:id="0"/>
    <w:p w14:paraId="722E3F98" w14:textId="465792E6" w:rsidR="003E1EEA" w:rsidRPr="003E1EEA" w:rsidRDefault="00A53BEE" w:rsidP="003E1EEA">
      <w:pPr>
        <w:jc w:val="both"/>
        <w:rPr>
          <w:rFonts w:cs="Arial"/>
          <w:color w:val="auto"/>
          <w:szCs w:val="20"/>
          <w:lang w:val="de-DE"/>
        </w:rPr>
      </w:pPr>
      <w:r w:rsidRPr="003E1EEA">
        <w:rPr>
          <w:rFonts w:cs="Arial"/>
          <w:b/>
          <w:color w:val="auto"/>
          <w:lang w:val="de-DE"/>
        </w:rPr>
        <w:t>München</w:t>
      </w:r>
      <w:r w:rsidR="00C1265C" w:rsidRPr="003E1EEA">
        <w:rPr>
          <w:rFonts w:cs="Arial"/>
          <w:b/>
          <w:color w:val="auto"/>
          <w:lang w:val="de-DE"/>
        </w:rPr>
        <w:t xml:space="preserve">, </w:t>
      </w:r>
      <w:r w:rsidR="00DD2DD2">
        <w:rPr>
          <w:rFonts w:cs="Arial"/>
          <w:b/>
          <w:color w:val="auto"/>
          <w:lang w:val="de-DE"/>
        </w:rPr>
        <w:t xml:space="preserve">01.September </w:t>
      </w:r>
      <w:r w:rsidR="00C1265C" w:rsidRPr="003E1EEA">
        <w:rPr>
          <w:rFonts w:cs="Arial"/>
          <w:b/>
          <w:color w:val="auto"/>
          <w:lang w:val="de-DE"/>
        </w:rPr>
        <w:t>2020</w:t>
      </w:r>
      <w:r w:rsidRPr="003E1EEA">
        <w:rPr>
          <w:rFonts w:cs="Arial"/>
          <w:color w:val="auto"/>
          <w:lang w:val="de-DE"/>
        </w:rPr>
        <w:t xml:space="preserve"> – </w:t>
      </w:r>
      <w:r w:rsidR="003E1EEA" w:rsidRPr="003E1EEA">
        <w:rPr>
          <w:rFonts w:cs="Arial"/>
          <w:color w:val="auto"/>
          <w:szCs w:val="16"/>
          <w:lang w:val="de-DE"/>
        </w:rPr>
        <w:t xml:space="preserve">NTT DATA </w:t>
      </w:r>
      <w:r w:rsidR="003E1EEA" w:rsidRPr="003E1EEA">
        <w:rPr>
          <w:rFonts w:cs="Arial"/>
          <w:color w:val="auto"/>
          <w:szCs w:val="20"/>
          <w:lang w:val="de-DE"/>
        </w:rPr>
        <w:t>entwickelt derzeit eine cloudbasierte Kollaborationsplattform für Hersteller, Zulieferer und technische Dienste, die den Homologationsprozess von Fahrzeugen mit Zulassungspflicht optimiert und erleichtert. Aufgrund von immer mehr Regulation und Nachweispflicht ist die Komplexität bei der Typgenehmigung stark gestiegen. Dadurch erhöht sich auch die Zahl der am Prozess beteiligten Menschen und Abteilungen in den involvierten Organisationen, was Abstimmungs- und Informationsprozesse aufwendiger gestaltet. Die modulare Softwarelösung von NTT DATA erlaubt es dagegen, die zulassungsrelevanten Daten aus allen betroffenen Fachbereichen und Organisationen effizient und transparent zu sammeln, zu managen und zu transferieren.</w:t>
      </w:r>
    </w:p>
    <w:p w14:paraId="44D4B3EB" w14:textId="77777777" w:rsidR="003E1EEA" w:rsidRPr="003E1EEA" w:rsidRDefault="003E1EEA" w:rsidP="003E1EEA">
      <w:pPr>
        <w:jc w:val="both"/>
        <w:rPr>
          <w:rFonts w:cs="Arial"/>
          <w:color w:val="auto"/>
          <w:szCs w:val="20"/>
          <w:lang w:val="de-DE"/>
        </w:rPr>
      </w:pPr>
      <w:r w:rsidRPr="003E1EEA">
        <w:rPr>
          <w:rFonts w:cs="Arial"/>
          <w:color w:val="auto"/>
          <w:szCs w:val="20"/>
          <w:lang w:val="de-DE"/>
        </w:rPr>
        <w:t>Die Homologation eines Fahrzeugs durch den Hersteller ist nicht nur zeit- und kostenintensiv, sondern auch zunehmend komplex. Vorgaben und Rahmenbedingungen ändern sich ständig und sind weltweit uneinheitlich. Hersteller, Zulieferer, technische Dienste sowie behördliche Einrichtungen müssen miteinander kommunizieren und sich gegenseitig verstehen – und das eben nicht nur innerhalb eines Landes, sondern über bis zu 185 Länder mit ihren teils eigenen behördlichen Vorgaben hinweg. Zudem benötigen alle Beteiligten Zugang zu den jeweils relevanten Detailinformationen, um Änderungen der Informationslage nachvollziehen zu können. Einzelne Bestrebungen, diese Prozesse zu digitalisieren, gibt es bereits, doch decken diese meist nur kleine Teilschritte ab. NTT DATA entwickelt eine Kollaborationsplattform, die Homologation als Software-</w:t>
      </w:r>
      <w:proofErr w:type="spellStart"/>
      <w:r w:rsidRPr="003E1EEA">
        <w:rPr>
          <w:rFonts w:cs="Arial"/>
          <w:color w:val="auto"/>
          <w:szCs w:val="20"/>
          <w:lang w:val="de-DE"/>
        </w:rPr>
        <w:t>as</w:t>
      </w:r>
      <w:proofErr w:type="spellEnd"/>
      <w:r w:rsidRPr="003E1EEA">
        <w:rPr>
          <w:rFonts w:cs="Arial"/>
          <w:color w:val="auto"/>
          <w:szCs w:val="20"/>
          <w:lang w:val="de-DE"/>
        </w:rPr>
        <w:t>-a-Service bietet und dabei den gesamten Prozess inklusive aller beteiligten Stellen durchgängig bedient. Die cloudbasierte Lösung stimmt das Zusammenwirken aller am Prozess beteiligten Menschen aufeinander ab, sorgt für einen Informationsfluss ohne Medienbrüche mit klarer Rückverfolgbarkeit und erreicht damit die erforderliche Prozessqualität, Prozesssicherheit und Datentransparenz.</w:t>
      </w:r>
    </w:p>
    <w:p w14:paraId="2F07245A" w14:textId="77777777" w:rsidR="003E1EEA" w:rsidRPr="003E1EEA" w:rsidRDefault="003E1EEA" w:rsidP="003E1EEA">
      <w:pPr>
        <w:jc w:val="both"/>
        <w:rPr>
          <w:rFonts w:cs="Arial"/>
          <w:color w:val="auto"/>
          <w:szCs w:val="20"/>
          <w:lang w:val="de-DE"/>
        </w:rPr>
      </w:pPr>
      <w:r w:rsidRPr="003E1EEA">
        <w:rPr>
          <w:rFonts w:cs="Arial"/>
          <w:color w:val="auto"/>
          <w:szCs w:val="20"/>
          <w:lang w:val="de-DE"/>
        </w:rPr>
        <w:t>Als besonderes Feature bietet die Plattform ein konfigurierbares Mapping, mit dem sich unterschiedliche Fachterminologien, etwa von Behörden und Unternehmen, in einen für die jeweilige Gegenseite verständlichen Einklang bringen lassen.</w:t>
      </w:r>
    </w:p>
    <w:p w14:paraId="400A4C57" w14:textId="65736FF9" w:rsidR="003E1EEA" w:rsidRPr="003E1EEA" w:rsidRDefault="003E1EEA" w:rsidP="003E1EEA">
      <w:pPr>
        <w:jc w:val="both"/>
        <w:rPr>
          <w:rFonts w:cs="Arial"/>
          <w:color w:val="auto"/>
          <w:szCs w:val="20"/>
          <w:lang w:val="de-DE"/>
        </w:rPr>
      </w:pPr>
      <w:r w:rsidRPr="003E1EEA">
        <w:rPr>
          <w:rFonts w:cs="Arial"/>
          <w:color w:val="auto"/>
          <w:szCs w:val="20"/>
          <w:lang w:val="de-DE"/>
        </w:rPr>
        <w:t>„Unsere Lösung reduziert die Komplexität des Typgenehmigungsprozesses, an dem heute Hunderte von Menschen in einer Vielzahl von Abteilungen und Organisationen beteiligt sind, in signifikanter Weise“, erklär</w:t>
      </w:r>
      <w:r w:rsidR="009E5C4D">
        <w:rPr>
          <w:rFonts w:cs="Arial"/>
          <w:color w:val="auto"/>
          <w:szCs w:val="20"/>
          <w:lang w:val="de-DE"/>
        </w:rPr>
        <w:t>t Heinz Baier</w:t>
      </w:r>
      <w:r w:rsidRPr="003E1EEA">
        <w:rPr>
          <w:rFonts w:cs="Arial"/>
          <w:color w:val="auto"/>
          <w:szCs w:val="20"/>
          <w:lang w:val="de-DE"/>
        </w:rPr>
        <w:t xml:space="preserve">, </w:t>
      </w:r>
      <w:r w:rsidR="009E5C4D">
        <w:rPr>
          <w:rFonts w:cs="Arial"/>
          <w:color w:val="auto"/>
          <w:szCs w:val="20"/>
          <w:lang w:val="de-DE"/>
        </w:rPr>
        <w:t xml:space="preserve">Head </w:t>
      </w:r>
      <w:proofErr w:type="spellStart"/>
      <w:r w:rsidR="009E5C4D">
        <w:rPr>
          <w:rFonts w:cs="Arial"/>
          <w:color w:val="auto"/>
          <w:szCs w:val="20"/>
          <w:lang w:val="de-DE"/>
        </w:rPr>
        <w:t>of</w:t>
      </w:r>
      <w:proofErr w:type="spellEnd"/>
      <w:r w:rsidR="009E5C4D">
        <w:rPr>
          <w:rFonts w:cs="Arial"/>
          <w:color w:val="auto"/>
          <w:szCs w:val="20"/>
          <w:lang w:val="de-DE"/>
        </w:rPr>
        <w:t xml:space="preserve"> </w:t>
      </w:r>
      <w:proofErr w:type="spellStart"/>
      <w:r w:rsidR="009E5C4D">
        <w:rPr>
          <w:rFonts w:cs="Arial"/>
          <w:color w:val="auto"/>
          <w:szCs w:val="20"/>
          <w:lang w:val="de-DE"/>
        </w:rPr>
        <w:t>Industry</w:t>
      </w:r>
      <w:proofErr w:type="spellEnd"/>
      <w:r w:rsidR="009E5C4D">
        <w:rPr>
          <w:rFonts w:cs="Arial"/>
          <w:color w:val="auto"/>
          <w:szCs w:val="20"/>
          <w:lang w:val="de-DE"/>
        </w:rPr>
        <w:t xml:space="preserve"> </w:t>
      </w:r>
      <w:r w:rsidRPr="003E1EEA">
        <w:rPr>
          <w:rFonts w:cs="Arial"/>
          <w:color w:val="auto"/>
          <w:szCs w:val="20"/>
          <w:lang w:val="de-DE"/>
        </w:rPr>
        <w:t>NTT DATA</w:t>
      </w:r>
      <w:r w:rsidR="009E5C4D">
        <w:rPr>
          <w:rFonts w:cs="Arial"/>
          <w:color w:val="auto"/>
          <w:szCs w:val="20"/>
          <w:lang w:val="de-DE"/>
        </w:rPr>
        <w:t xml:space="preserve"> DACH</w:t>
      </w:r>
      <w:r w:rsidRPr="003E1EEA">
        <w:rPr>
          <w:rFonts w:cs="Arial"/>
          <w:color w:val="auto"/>
          <w:szCs w:val="20"/>
          <w:lang w:val="de-DE"/>
        </w:rPr>
        <w:t>. „Der Cloud-Ansatz ist dafür der richtige, weil er es uns einfach macht, die an den jeweiligen Stellen passenden Funktionen zu bieten, alle Beteiligten auf demselben Informationsstand zu halten und die erforderliche Datensicherheit zu gewährleisten. Auf diese Weise erhalten Fahrzeughersteller für den Homologationsprozess erstmals einen orchestrierten Prozess mit einem geregelten Informationsfluss.“</w:t>
      </w:r>
    </w:p>
    <w:p w14:paraId="661F6F8F" w14:textId="28AB643D" w:rsidR="003E1EEA" w:rsidRDefault="003E1EEA" w:rsidP="003E1EEA">
      <w:pPr>
        <w:jc w:val="both"/>
        <w:rPr>
          <w:rFonts w:cs="Arial"/>
          <w:color w:val="auto"/>
          <w:szCs w:val="20"/>
          <w:lang w:val="de-DE"/>
        </w:rPr>
      </w:pPr>
      <w:r w:rsidRPr="003E1EEA">
        <w:rPr>
          <w:rFonts w:cs="Arial"/>
          <w:color w:val="auto"/>
          <w:szCs w:val="20"/>
          <w:lang w:val="de-DE"/>
        </w:rPr>
        <w:t>Die Entwicklung findet in enger Zusammenarbeit mit relevanten Marktteilnehmern statt, bei denen ab Q3 2020 einzelne Module als Pilotprojekte im Einsatz sein werden. Diese Erfahrungen fließen direkt in den ersten Release, der bald folgen soll.</w:t>
      </w:r>
    </w:p>
    <w:p w14:paraId="5231341A" w14:textId="27CE9473" w:rsidR="00DD2DD2" w:rsidRPr="00DD2DD2" w:rsidRDefault="00DD2DD2" w:rsidP="00DD2DD2">
      <w:pPr>
        <w:rPr>
          <w:rFonts w:cs="Arial"/>
          <w:color w:val="auto"/>
          <w:szCs w:val="20"/>
          <w:lang w:val="de-DE"/>
        </w:rPr>
      </w:pPr>
      <w:r>
        <w:rPr>
          <w:rFonts w:cs="Arial"/>
          <w:color w:val="auto"/>
          <w:szCs w:val="20"/>
          <w:lang w:val="de-DE"/>
        </w:rPr>
        <w:t xml:space="preserve">Mehr Informationen zur Lösung erhalten Sie hier: </w:t>
      </w:r>
      <w:r w:rsidR="00B10C4D">
        <w:fldChar w:fldCharType="begin"/>
      </w:r>
      <w:r w:rsidR="00B10C4D" w:rsidRPr="00B10C4D">
        <w:rPr>
          <w:lang w:val="de-DE"/>
        </w:rPr>
        <w:instrText xml:space="preserve"> HYPERLINK "https://www.youtube.com/watch?v=eKNmS_oAn_s" </w:instrText>
      </w:r>
      <w:r w:rsidR="00B10C4D">
        <w:fldChar w:fldCharType="separate"/>
      </w:r>
      <w:r w:rsidRPr="00016F22">
        <w:rPr>
          <w:rStyle w:val="Hyperlink"/>
          <w:rFonts w:ascii="Segoe UI" w:hAnsi="Segoe UI" w:cs="Segoe UI"/>
          <w:sz w:val="21"/>
          <w:szCs w:val="21"/>
          <w:shd w:val="clear" w:color="auto" w:fill="FFFFFF"/>
          <w:lang w:val="de-DE"/>
        </w:rPr>
        <w:t>https://www.youtube.com/watch?v=eKNmS_oAn_s</w:t>
      </w:r>
      <w:r w:rsidR="00B10C4D">
        <w:rPr>
          <w:rStyle w:val="Hyperlink"/>
          <w:rFonts w:ascii="Segoe UI" w:hAnsi="Segoe UI" w:cs="Segoe UI"/>
          <w:sz w:val="21"/>
          <w:szCs w:val="21"/>
          <w:shd w:val="clear" w:color="auto" w:fill="FFFFFF"/>
          <w:lang w:val="de-DE"/>
        </w:rPr>
        <w:fldChar w:fldCharType="end"/>
      </w:r>
    </w:p>
    <w:p w14:paraId="31A3B353" w14:textId="5F07A580" w:rsidR="00C1265C" w:rsidRPr="003E1EEA" w:rsidRDefault="00C1265C" w:rsidP="003E1EEA">
      <w:pPr>
        <w:pStyle w:val="Default"/>
        <w:jc w:val="both"/>
        <w:rPr>
          <w:rFonts w:ascii="Arial" w:hAnsi="Arial" w:cs="Arial"/>
          <w:color w:val="auto"/>
          <w:sz w:val="20"/>
          <w:szCs w:val="20"/>
          <w:lang w:val="de-DE"/>
        </w:rPr>
      </w:pPr>
    </w:p>
    <w:p w14:paraId="6147228E" w14:textId="01057A9B" w:rsidR="00F70A16" w:rsidRPr="003E1EEA" w:rsidRDefault="00F70A16" w:rsidP="001C0959">
      <w:pPr>
        <w:pStyle w:val="Default"/>
        <w:jc w:val="both"/>
        <w:rPr>
          <w:rFonts w:ascii="Arial" w:hAnsi="Arial" w:cs="Arial"/>
          <w:color w:val="auto"/>
          <w:sz w:val="20"/>
          <w:szCs w:val="20"/>
          <w:lang w:val="de-DE"/>
        </w:rPr>
      </w:pPr>
    </w:p>
    <w:p w14:paraId="23061E28" w14:textId="0E08723C" w:rsidR="002F251F" w:rsidRPr="003E1EEA" w:rsidRDefault="002F251F" w:rsidP="002F251F">
      <w:pPr>
        <w:pStyle w:val="Default"/>
        <w:jc w:val="both"/>
        <w:rPr>
          <w:rFonts w:ascii="Arial" w:hAnsi="Arial" w:cs="Arial"/>
          <w:i/>
          <w:iCs/>
          <w:color w:val="auto"/>
          <w:sz w:val="20"/>
          <w:szCs w:val="20"/>
          <w:lang w:val="de-DE"/>
        </w:rPr>
      </w:pPr>
    </w:p>
    <w:p w14:paraId="751320D0" w14:textId="79DED487" w:rsidR="003E1EEA" w:rsidRDefault="003E1EEA" w:rsidP="002F251F">
      <w:pPr>
        <w:pStyle w:val="Default"/>
        <w:jc w:val="both"/>
        <w:rPr>
          <w:rFonts w:ascii="Arial" w:hAnsi="Arial" w:cs="Arial"/>
          <w:i/>
          <w:iCs/>
          <w:color w:val="auto"/>
          <w:sz w:val="20"/>
          <w:szCs w:val="20"/>
          <w:lang w:val="de-DE"/>
        </w:rPr>
      </w:pPr>
    </w:p>
    <w:p w14:paraId="3C227237" w14:textId="18025A2C" w:rsidR="00D82B4D" w:rsidRPr="00737C05" w:rsidRDefault="00A53BEE">
      <w:pPr>
        <w:spacing w:before="0" w:after="200" w:line="276" w:lineRule="auto"/>
        <w:jc w:val="both"/>
        <w:rPr>
          <w:rFonts w:cs="Arial"/>
          <w:b/>
          <w:bCs/>
          <w:color w:val="000000" w:themeColor="text1"/>
          <w:sz w:val="22"/>
          <w:lang w:val="de-DE"/>
        </w:rPr>
      </w:pPr>
      <w:r w:rsidRPr="00737C05">
        <w:rPr>
          <w:rFonts w:cs="Arial"/>
          <w:b/>
          <w:bCs/>
          <w:color w:val="000000" w:themeColor="text1"/>
          <w:sz w:val="22"/>
          <w:lang w:val="de-DE"/>
        </w:rPr>
        <w:t>Über NTT DATA</w:t>
      </w:r>
    </w:p>
    <w:p w14:paraId="0B8BFE52" w14:textId="718A188F" w:rsidR="00530A00" w:rsidRPr="008668EA" w:rsidRDefault="00530A00" w:rsidP="009E5C4D">
      <w:pPr>
        <w:pStyle w:val="StandardWeb"/>
        <w:jc w:val="both"/>
        <w:rPr>
          <w:rFonts w:ascii="Arial" w:hAnsi="Arial" w:cs="Arial"/>
          <w:sz w:val="20"/>
          <w:szCs w:val="20"/>
          <w:lang w:val="x-none" w:eastAsia="en-US"/>
        </w:rPr>
      </w:pPr>
      <w:r w:rsidRPr="009E5C4D">
        <w:rPr>
          <w:rFonts w:ascii="Arial" w:hAnsi="Arial" w:cs="Arial"/>
          <w:sz w:val="20"/>
          <w:szCs w:val="20"/>
          <w:lang w:val="x-none" w:eastAsia="en-US"/>
        </w:rPr>
        <w:t xml:space="preserve">NTT DATA – ein Teil der NTT Group – ist </w:t>
      </w:r>
      <w:proofErr w:type="spellStart"/>
      <w:r w:rsidRPr="009E5C4D">
        <w:rPr>
          <w:rFonts w:ascii="Arial" w:hAnsi="Arial" w:cs="Arial"/>
          <w:sz w:val="20"/>
          <w:szCs w:val="20"/>
          <w:lang w:val="x-none" w:eastAsia="en-US"/>
        </w:rPr>
        <w:t>Trusted</w:t>
      </w:r>
      <w:proofErr w:type="spellEnd"/>
      <w:r w:rsidRPr="009E5C4D">
        <w:rPr>
          <w:rFonts w:ascii="Arial" w:hAnsi="Arial" w:cs="Arial"/>
          <w:sz w:val="20"/>
          <w:szCs w:val="20"/>
          <w:lang w:val="x-none" w:eastAsia="en-US"/>
        </w:rPr>
        <w:t xml:space="preserve"> Global Innovator von Business- und IT-Lösungen mit Hauptsitz in Tokio. Wir unterstützen unsere Kunden bei </w:t>
      </w:r>
      <w:proofErr w:type="spellStart"/>
      <w:r w:rsidRPr="009E5C4D">
        <w:rPr>
          <w:rFonts w:ascii="Arial" w:hAnsi="Arial" w:cs="Arial"/>
          <w:sz w:val="20"/>
          <w:szCs w:val="20"/>
          <w:lang w:eastAsia="en-US"/>
        </w:rPr>
        <w:t>ihrer</w:t>
      </w:r>
      <w:proofErr w:type="spellEnd"/>
      <w:r w:rsidRPr="009E5C4D">
        <w:rPr>
          <w:rFonts w:ascii="Arial" w:hAnsi="Arial" w:cs="Arial"/>
          <w:sz w:val="20"/>
          <w:szCs w:val="20"/>
          <w:lang w:eastAsia="en-US"/>
        </w:rPr>
        <w:t xml:space="preserve"> </w:t>
      </w:r>
      <w:r w:rsidRPr="009E5C4D">
        <w:rPr>
          <w:rFonts w:ascii="Arial" w:hAnsi="Arial" w:cs="Arial"/>
          <w:sz w:val="20"/>
          <w:szCs w:val="20"/>
          <w:lang w:val="x-none" w:eastAsia="en-US"/>
        </w:rPr>
        <w:t xml:space="preserve">Transformation durch Consulting, Branchenlösungen, </w:t>
      </w:r>
      <w:r w:rsidRPr="009E5C4D">
        <w:rPr>
          <w:rFonts w:ascii="Arial" w:hAnsi="Arial" w:cs="Arial"/>
          <w:sz w:val="20"/>
          <w:szCs w:val="20"/>
          <w:lang w:eastAsia="en-US"/>
        </w:rPr>
        <w:t xml:space="preserve">Business </w:t>
      </w:r>
      <w:proofErr w:type="spellStart"/>
      <w:r w:rsidRPr="009E5C4D">
        <w:rPr>
          <w:rFonts w:ascii="Arial" w:hAnsi="Arial" w:cs="Arial"/>
          <w:sz w:val="20"/>
          <w:szCs w:val="20"/>
          <w:lang w:eastAsia="en-US"/>
        </w:rPr>
        <w:t>Process</w:t>
      </w:r>
      <w:proofErr w:type="spellEnd"/>
      <w:r w:rsidRPr="009E5C4D">
        <w:rPr>
          <w:rFonts w:ascii="Arial" w:hAnsi="Arial" w:cs="Arial"/>
          <w:sz w:val="20"/>
          <w:szCs w:val="20"/>
          <w:lang w:eastAsia="en-US"/>
        </w:rPr>
        <w:t xml:space="preserve"> Services</w:t>
      </w:r>
      <w:r w:rsidRPr="009E5C4D">
        <w:rPr>
          <w:rFonts w:ascii="Arial" w:hAnsi="Arial" w:cs="Arial"/>
          <w:sz w:val="20"/>
          <w:szCs w:val="20"/>
          <w:lang w:val="x-none" w:eastAsia="en-US"/>
        </w:rPr>
        <w:t xml:space="preserve">, IT-Modernisierung und </w:t>
      </w:r>
      <w:proofErr w:type="spellStart"/>
      <w:r w:rsidRPr="009E5C4D">
        <w:rPr>
          <w:rFonts w:ascii="Arial" w:hAnsi="Arial" w:cs="Arial"/>
          <w:sz w:val="20"/>
          <w:szCs w:val="20"/>
          <w:lang w:val="x-none" w:eastAsia="en-US"/>
        </w:rPr>
        <w:t>Managed</w:t>
      </w:r>
      <w:proofErr w:type="spellEnd"/>
      <w:r w:rsidRPr="009E5C4D">
        <w:rPr>
          <w:rFonts w:ascii="Arial" w:hAnsi="Arial" w:cs="Arial"/>
          <w:sz w:val="20"/>
          <w:szCs w:val="20"/>
          <w:lang w:val="x-none" w:eastAsia="en-US"/>
        </w:rPr>
        <w:t xml:space="preserve"> Services. Mit NTT DATA können Kunden und die Gesellschaft im Allgemeinen selbstbewusst in die digitale Zukunft gehen.</w:t>
      </w:r>
      <w:r w:rsidRPr="009E5C4D">
        <w:rPr>
          <w:rFonts w:ascii="Arial" w:hAnsi="Arial" w:cs="Arial"/>
          <w:sz w:val="20"/>
          <w:szCs w:val="20"/>
          <w:lang w:eastAsia="en-US"/>
        </w:rPr>
        <w:t xml:space="preserve"> </w:t>
      </w:r>
      <w:r w:rsidRPr="009E5C4D">
        <w:rPr>
          <w:rFonts w:ascii="Arial" w:hAnsi="Arial" w:cs="Arial"/>
          <w:sz w:val="20"/>
          <w:szCs w:val="20"/>
          <w:lang w:val="x-none" w:eastAsia="en-US"/>
        </w:rPr>
        <w:t>Wir setzen uns für den langfristigen Erfolg unserer Kunden ein und kombinieren globale Präsenz mit lokaler Kundenbetreuung in über 50 Ländern.</w:t>
      </w:r>
      <w:r w:rsidRPr="009E5C4D">
        <w:rPr>
          <w:rFonts w:ascii="Arial" w:hAnsi="Arial" w:cs="Arial"/>
          <w:sz w:val="20"/>
          <w:szCs w:val="20"/>
          <w:lang w:eastAsia="en-US"/>
        </w:rPr>
        <w:t xml:space="preserve"> </w:t>
      </w:r>
      <w:proofErr w:type="spellStart"/>
      <w:r w:rsidRPr="009E5C4D">
        <w:rPr>
          <w:rFonts w:ascii="Arial" w:hAnsi="Arial" w:cs="Arial"/>
          <w:color w:val="000000"/>
          <w:sz w:val="20"/>
          <w:szCs w:val="20"/>
          <w:lang w:eastAsia="en-US"/>
        </w:rPr>
        <w:t>Weitere</w:t>
      </w:r>
      <w:proofErr w:type="spellEnd"/>
      <w:r w:rsidRPr="009E5C4D">
        <w:rPr>
          <w:rFonts w:ascii="Arial" w:hAnsi="Arial" w:cs="Arial"/>
          <w:color w:val="000000"/>
          <w:sz w:val="20"/>
          <w:szCs w:val="20"/>
          <w:lang w:eastAsia="en-US"/>
        </w:rPr>
        <w:t xml:space="preserve"> </w:t>
      </w:r>
      <w:proofErr w:type="spellStart"/>
      <w:r w:rsidRPr="008668EA">
        <w:rPr>
          <w:rFonts w:ascii="Arial" w:hAnsi="Arial" w:cs="Arial"/>
          <w:sz w:val="20"/>
          <w:szCs w:val="20"/>
          <w:lang w:eastAsia="en-US"/>
        </w:rPr>
        <w:t>Informationen</w:t>
      </w:r>
      <w:proofErr w:type="spellEnd"/>
      <w:r w:rsidRPr="008668EA">
        <w:rPr>
          <w:rFonts w:ascii="Arial" w:hAnsi="Arial" w:cs="Arial"/>
          <w:sz w:val="20"/>
          <w:szCs w:val="20"/>
          <w:lang w:eastAsia="en-US"/>
        </w:rPr>
        <w:t xml:space="preserve"> </w:t>
      </w:r>
      <w:proofErr w:type="spellStart"/>
      <w:r w:rsidRPr="008668EA">
        <w:rPr>
          <w:rFonts w:ascii="Arial" w:hAnsi="Arial" w:cs="Arial"/>
          <w:sz w:val="20"/>
          <w:szCs w:val="20"/>
          <w:lang w:eastAsia="en-US"/>
        </w:rPr>
        <w:t>finden</w:t>
      </w:r>
      <w:proofErr w:type="spellEnd"/>
      <w:r w:rsidRPr="008668EA">
        <w:rPr>
          <w:rFonts w:ascii="Arial" w:hAnsi="Arial" w:cs="Arial"/>
          <w:sz w:val="20"/>
          <w:szCs w:val="20"/>
          <w:lang w:eastAsia="en-US"/>
        </w:rPr>
        <w:t xml:space="preserve"> </w:t>
      </w:r>
      <w:proofErr w:type="spellStart"/>
      <w:r w:rsidRPr="008668EA">
        <w:rPr>
          <w:rFonts w:ascii="Arial" w:hAnsi="Arial" w:cs="Arial"/>
          <w:sz w:val="20"/>
          <w:szCs w:val="20"/>
          <w:lang w:eastAsia="en-US"/>
        </w:rPr>
        <w:t>Sie</w:t>
      </w:r>
      <w:proofErr w:type="spellEnd"/>
      <w:r w:rsidRPr="008668EA">
        <w:rPr>
          <w:rFonts w:ascii="Arial" w:hAnsi="Arial" w:cs="Arial"/>
          <w:sz w:val="20"/>
          <w:szCs w:val="20"/>
          <w:lang w:eastAsia="en-US"/>
        </w:rPr>
        <w:t xml:space="preserve"> </w:t>
      </w:r>
      <w:proofErr w:type="spellStart"/>
      <w:r w:rsidRPr="008668EA">
        <w:rPr>
          <w:rFonts w:ascii="Arial" w:hAnsi="Arial" w:cs="Arial"/>
          <w:sz w:val="20"/>
          <w:szCs w:val="20"/>
          <w:lang w:eastAsia="en-US"/>
        </w:rPr>
        <w:t>auf</w:t>
      </w:r>
      <w:proofErr w:type="spellEnd"/>
      <w:r w:rsidRPr="008668EA">
        <w:rPr>
          <w:rFonts w:ascii="Arial" w:hAnsi="Arial" w:cs="Arial"/>
          <w:sz w:val="20"/>
          <w:szCs w:val="20"/>
          <w:lang w:eastAsia="en-US"/>
        </w:rPr>
        <w:t xml:space="preserve"> </w:t>
      </w:r>
      <w:hyperlink r:id="rId8" w:history="1">
        <w:r w:rsidRPr="008668EA">
          <w:rPr>
            <w:rStyle w:val="Hyperlink"/>
            <w:rFonts w:ascii="Arial" w:hAnsi="Arial" w:cs="Arial"/>
            <w:color w:val="auto"/>
            <w:sz w:val="20"/>
            <w:szCs w:val="20"/>
            <w:lang w:eastAsia="en-US"/>
          </w:rPr>
          <w:t>de.nttdata.com</w:t>
        </w:r>
      </w:hyperlink>
      <w:r w:rsidR="009E5C4D" w:rsidRPr="008668EA">
        <w:rPr>
          <w:rFonts w:ascii="Arial" w:hAnsi="Arial" w:cs="Arial"/>
          <w:sz w:val="20"/>
          <w:szCs w:val="20"/>
          <w:lang w:eastAsia="en-US"/>
        </w:rPr>
        <w:t>.</w:t>
      </w:r>
    </w:p>
    <w:p w14:paraId="318C7233" w14:textId="77777777" w:rsidR="00C1265C" w:rsidRPr="008668EA" w:rsidRDefault="00C1265C" w:rsidP="00A53BEE">
      <w:pPr>
        <w:spacing w:before="0" w:after="200" w:line="276" w:lineRule="auto"/>
        <w:rPr>
          <w:rFonts w:cs="Arial"/>
          <w:b/>
          <w:color w:val="auto"/>
          <w:lang w:val="de-DE"/>
        </w:rPr>
      </w:pPr>
    </w:p>
    <w:p w14:paraId="3D41F0FF" w14:textId="7F4C6A06" w:rsidR="00A53BEE" w:rsidRPr="008668EA" w:rsidRDefault="00A53BEE" w:rsidP="00A53BEE">
      <w:pPr>
        <w:spacing w:before="0" w:after="200" w:line="276" w:lineRule="auto"/>
        <w:rPr>
          <w:rFonts w:cs="Arial"/>
          <w:b/>
          <w:color w:val="auto"/>
          <w:lang w:val="de-DE"/>
        </w:rPr>
      </w:pPr>
      <w:r w:rsidRPr="008668EA">
        <w:rPr>
          <w:rFonts w:cs="Arial"/>
          <w:b/>
          <w:color w:val="auto"/>
          <w:lang w:val="de-DE"/>
        </w:rPr>
        <w:t>Pressekontakt:</w:t>
      </w:r>
    </w:p>
    <w:p w14:paraId="25C7420D" w14:textId="77777777" w:rsidR="00A53BEE" w:rsidRPr="008668EA"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8668EA">
        <w:rPr>
          <w:rFonts w:ascii="Arial" w:eastAsiaTheme="minorHAnsi" w:hAnsi="Arial" w:cs="Arial"/>
          <w:sz w:val="20"/>
          <w:szCs w:val="22"/>
          <w:lang w:val="de-DE" w:eastAsia="en-US"/>
        </w:rPr>
        <w:t>NTT DATA Deutschland GmbH</w:t>
      </w:r>
    </w:p>
    <w:p w14:paraId="683DB746" w14:textId="77777777" w:rsidR="00A53BEE" w:rsidRPr="008668EA" w:rsidRDefault="00A53BEE" w:rsidP="00A53BEE">
      <w:pPr>
        <w:pStyle w:val="StandardWeb"/>
        <w:spacing w:before="0" w:beforeAutospacing="0" w:after="0" w:afterAutospacing="0"/>
        <w:ind w:right="1417"/>
        <w:rPr>
          <w:rFonts w:ascii="Arial" w:eastAsiaTheme="minorHAnsi" w:hAnsi="Arial" w:cs="Arial"/>
          <w:sz w:val="20"/>
          <w:szCs w:val="22"/>
          <w:lang w:val="en-US" w:eastAsia="en-US"/>
        </w:rPr>
      </w:pPr>
      <w:r w:rsidRPr="008668EA">
        <w:rPr>
          <w:rFonts w:ascii="Arial" w:eastAsiaTheme="minorHAnsi" w:hAnsi="Arial" w:cs="Arial"/>
          <w:sz w:val="20"/>
          <w:szCs w:val="22"/>
          <w:lang w:val="en-US" w:eastAsia="en-US"/>
        </w:rPr>
        <w:t>Katja Friedrich</w:t>
      </w:r>
    </w:p>
    <w:p w14:paraId="22ACEE5E" w14:textId="77777777" w:rsidR="00A53BEE" w:rsidRPr="008668EA" w:rsidRDefault="00A53BEE" w:rsidP="00A53BEE">
      <w:pPr>
        <w:pStyle w:val="StandardWeb"/>
        <w:spacing w:before="0" w:beforeAutospacing="0" w:after="0" w:afterAutospacing="0"/>
        <w:ind w:right="1417"/>
        <w:rPr>
          <w:rFonts w:ascii="Arial" w:eastAsiaTheme="minorHAnsi" w:hAnsi="Arial" w:cs="Arial"/>
          <w:sz w:val="20"/>
          <w:szCs w:val="22"/>
          <w:lang w:val="en-US" w:eastAsia="en-US"/>
        </w:rPr>
      </w:pPr>
      <w:r w:rsidRPr="008668EA">
        <w:rPr>
          <w:rFonts w:ascii="Arial" w:eastAsiaTheme="minorHAnsi" w:hAnsi="Arial" w:cs="Arial"/>
          <w:sz w:val="20"/>
          <w:szCs w:val="22"/>
          <w:lang w:val="en-US" w:eastAsia="en-US"/>
        </w:rPr>
        <w:t>VP, Head of Communications</w:t>
      </w:r>
    </w:p>
    <w:p w14:paraId="5F41623D" w14:textId="77777777" w:rsidR="00A53BEE" w:rsidRPr="008668EA"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8668EA">
        <w:rPr>
          <w:rFonts w:ascii="Arial" w:eastAsiaTheme="minorHAnsi" w:hAnsi="Arial" w:cs="Arial"/>
          <w:sz w:val="20"/>
          <w:szCs w:val="22"/>
          <w:lang w:val="de-DE" w:eastAsia="en-US"/>
        </w:rPr>
        <w:t>Tel.: +49 7243 570-1349</w:t>
      </w:r>
    </w:p>
    <w:p w14:paraId="6A62B30C" w14:textId="77777777" w:rsidR="00A53BEE" w:rsidRPr="008668EA"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8668EA">
        <w:rPr>
          <w:rFonts w:ascii="Arial" w:eastAsiaTheme="minorHAnsi" w:hAnsi="Arial" w:cs="Arial"/>
          <w:sz w:val="20"/>
          <w:szCs w:val="22"/>
          <w:lang w:val="de-DE" w:eastAsia="en-US"/>
        </w:rPr>
        <w:t>E-Mail: Katja.Friedrich@nttdata.com</w:t>
      </w:r>
    </w:p>
    <w:sectPr w:rsidR="00A53BEE" w:rsidRPr="008668EA">
      <w:headerReference w:type="default" r:id="rId9"/>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3EE94" w14:textId="77777777" w:rsidR="00B11C70" w:rsidRDefault="00B11C70">
      <w:pPr>
        <w:spacing w:before="0" w:after="0"/>
      </w:pPr>
      <w:r>
        <w:separator/>
      </w:r>
    </w:p>
  </w:endnote>
  <w:endnote w:type="continuationSeparator" w:id="0">
    <w:p w14:paraId="3F7F6AD7" w14:textId="77777777" w:rsidR="00B11C70" w:rsidRDefault="00B11C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DDA7D" w14:textId="77777777" w:rsidR="00B11C70" w:rsidRDefault="00B11C70">
      <w:pPr>
        <w:spacing w:before="0" w:after="0"/>
      </w:pPr>
      <w:r>
        <w:separator/>
      </w:r>
    </w:p>
  </w:footnote>
  <w:footnote w:type="continuationSeparator" w:id="0">
    <w:p w14:paraId="77FB94D3" w14:textId="77777777" w:rsidR="00B11C70" w:rsidRDefault="00B11C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23480"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612DA740" wp14:editId="2F763F9B">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6672F2BA" wp14:editId="62D6A61B">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D4D40"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672F2BA"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45AD4D40" w14:textId="77777777" w:rsidR="00D82B4D" w:rsidRDefault="007B71CE">
                    <w:pPr>
                      <w:jc w:val="right"/>
                      <w:rPr>
                        <w:b/>
                        <w:color w:val="000000" w:themeColor="text1"/>
                        <w:sz w:val="52"/>
                        <w:szCs w:val="52"/>
                        <w:lang w:val="it-IT"/>
                      </w:rPr>
                    </w:pPr>
                    <w:proofErr w:type="spellStart"/>
                    <w:r>
                      <w:rPr>
                        <w:b/>
                        <w:color w:val="000000" w:themeColor="text1"/>
                        <w:sz w:val="52"/>
                        <w:szCs w:val="52"/>
                        <w:lang w:val="it-IT"/>
                      </w:rPr>
                      <w:t>Pressemitteilung</w:t>
                    </w:r>
                    <w:proofErr w:type="spellEnd"/>
                  </w:p>
                </w:txbxContent>
              </v:textbox>
            </v:shape>
          </w:pict>
        </mc:Fallback>
      </mc:AlternateContent>
    </w:r>
    <w:r>
      <w:rPr>
        <w:noProof/>
        <w:lang w:val="de-DE" w:eastAsia="de-DE"/>
      </w:rPr>
      <w:drawing>
        <wp:anchor distT="0" distB="0" distL="114300" distR="114300" simplePos="0" relativeHeight="251656704" behindDoc="1" locked="0" layoutInCell="1" allowOverlap="1" wp14:anchorId="5FAF4029" wp14:editId="613D4361">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064EBBF4" wp14:editId="158D3FB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66D1C1D7" wp14:editId="18065310">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145"/>
    <w:multiLevelType w:val="hybridMultilevel"/>
    <w:tmpl w:val="DBC6D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4"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5"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8" w15:restartNumberingAfterBreak="0">
    <w:nsid w:val="51417255"/>
    <w:multiLevelType w:val="hybridMultilevel"/>
    <w:tmpl w:val="CED42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1"/>
  </w:num>
  <w:num w:numId="3">
    <w:abstractNumId w:val="1"/>
  </w:num>
  <w:num w:numId="4">
    <w:abstractNumId w:val="4"/>
  </w:num>
  <w:num w:numId="5">
    <w:abstractNumId w:val="12"/>
  </w:num>
  <w:num w:numId="6">
    <w:abstractNumId w:val="7"/>
  </w:num>
  <w:num w:numId="7">
    <w:abstractNumId w:val="13"/>
  </w:num>
  <w:num w:numId="8">
    <w:abstractNumId w:val="3"/>
  </w:num>
  <w:num w:numId="9">
    <w:abstractNumId w:val="5"/>
  </w:num>
  <w:num w:numId="10">
    <w:abstractNumId w:val="14"/>
  </w:num>
  <w:num w:numId="11">
    <w:abstractNumId w:val="9"/>
  </w:num>
  <w:num w:numId="12">
    <w:abstractNumId w:val="6"/>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de-DE" w:vendorID="64" w:dllVersion="131078" w:nlCheck="1" w:checkStyle="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32E1E"/>
    <w:rsid w:val="000349E6"/>
    <w:rsid w:val="00053722"/>
    <w:rsid w:val="000C28F5"/>
    <w:rsid w:val="000D4945"/>
    <w:rsid w:val="000F5D54"/>
    <w:rsid w:val="0014448D"/>
    <w:rsid w:val="00182E62"/>
    <w:rsid w:val="001C0959"/>
    <w:rsid w:val="001D24DE"/>
    <w:rsid w:val="00222A7F"/>
    <w:rsid w:val="00253651"/>
    <w:rsid w:val="00280289"/>
    <w:rsid w:val="002C48E0"/>
    <w:rsid w:val="002F251F"/>
    <w:rsid w:val="00331D5A"/>
    <w:rsid w:val="00352D5A"/>
    <w:rsid w:val="003C397F"/>
    <w:rsid w:val="003E1EEA"/>
    <w:rsid w:val="004119E3"/>
    <w:rsid w:val="004B1056"/>
    <w:rsid w:val="004D52FC"/>
    <w:rsid w:val="00524AD2"/>
    <w:rsid w:val="00530A00"/>
    <w:rsid w:val="00552B7C"/>
    <w:rsid w:val="00566EC8"/>
    <w:rsid w:val="00580DEF"/>
    <w:rsid w:val="005F7C86"/>
    <w:rsid w:val="00617AA1"/>
    <w:rsid w:val="00625283"/>
    <w:rsid w:val="00672423"/>
    <w:rsid w:val="006A0CA7"/>
    <w:rsid w:val="006F5282"/>
    <w:rsid w:val="00712BAA"/>
    <w:rsid w:val="00737C05"/>
    <w:rsid w:val="00782721"/>
    <w:rsid w:val="00794A92"/>
    <w:rsid w:val="007B71CE"/>
    <w:rsid w:val="007D35D7"/>
    <w:rsid w:val="007E4CA7"/>
    <w:rsid w:val="008668EA"/>
    <w:rsid w:val="00873A50"/>
    <w:rsid w:val="008E4F40"/>
    <w:rsid w:val="00993FC5"/>
    <w:rsid w:val="009A7AB2"/>
    <w:rsid w:val="009B07CD"/>
    <w:rsid w:val="009D1AB5"/>
    <w:rsid w:val="009E5C4D"/>
    <w:rsid w:val="00A07568"/>
    <w:rsid w:val="00A1481A"/>
    <w:rsid w:val="00A250DD"/>
    <w:rsid w:val="00A53BEE"/>
    <w:rsid w:val="00A57AE7"/>
    <w:rsid w:val="00AE2A7A"/>
    <w:rsid w:val="00AF442D"/>
    <w:rsid w:val="00B10C4D"/>
    <w:rsid w:val="00B11C70"/>
    <w:rsid w:val="00B36C31"/>
    <w:rsid w:val="00B43CBF"/>
    <w:rsid w:val="00B5162B"/>
    <w:rsid w:val="00B61517"/>
    <w:rsid w:val="00BD54FA"/>
    <w:rsid w:val="00BF06A7"/>
    <w:rsid w:val="00C1265C"/>
    <w:rsid w:val="00C75961"/>
    <w:rsid w:val="00C768BC"/>
    <w:rsid w:val="00C83E7C"/>
    <w:rsid w:val="00C97613"/>
    <w:rsid w:val="00CC259C"/>
    <w:rsid w:val="00D17750"/>
    <w:rsid w:val="00D5689B"/>
    <w:rsid w:val="00D64F6B"/>
    <w:rsid w:val="00D82B4D"/>
    <w:rsid w:val="00DC3A34"/>
    <w:rsid w:val="00DD2DD2"/>
    <w:rsid w:val="00E53401"/>
    <w:rsid w:val="00E73820"/>
    <w:rsid w:val="00EE5CFF"/>
    <w:rsid w:val="00EF3263"/>
    <w:rsid w:val="00EF5D81"/>
    <w:rsid w:val="00F36F70"/>
    <w:rsid w:val="00F4213F"/>
    <w:rsid w:val="00F70A16"/>
    <w:rsid w:val="00F95C81"/>
    <w:rsid w:val="00F97A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0951BF3"/>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B36C31"/>
    <w:rPr>
      <w:color w:val="605E5C"/>
      <w:shd w:val="clear" w:color="auto" w:fill="E1DFDD"/>
    </w:rPr>
  </w:style>
  <w:style w:type="character" w:customStyle="1" w:styleId="UnresolvedMention">
    <w:name w:val="Unresolved Mention"/>
    <w:basedOn w:val="Absatz-Standardschriftart"/>
    <w:uiPriority w:val="99"/>
    <w:semiHidden/>
    <w:unhideWhenUsed/>
    <w:rsid w:val="009E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ttda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FFD0B-07D1-4F2C-A6CD-90B3A0E5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Friedrich Katja</cp:lastModifiedBy>
  <cp:revision>3</cp:revision>
  <cp:lastPrinted>2019-11-14T08:24:00Z</cp:lastPrinted>
  <dcterms:created xsi:type="dcterms:W3CDTF">2020-08-27T11:03:00Z</dcterms:created>
  <dcterms:modified xsi:type="dcterms:W3CDTF">2020-08-27T11:08:00Z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